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中国农工民主党天津市委员会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中国农工民主党是以医药卫生、人口资源和生态环境领域高中级知识分子为主，具有政治联盟特点，是接受中国共产党领导，同中国共产党通力合作的亲密友党，是致力于中国特色社会主义事业的参政党。中国农工民主党天津市委员会为农工党的省级组织。在中共天津市委和农工党中央领导下，团结带领全市农工党员服务于我市经济发展和社会进步。重点发展有一定代表性人士，着重加强自身建设，不断提高党员思想政治素质，增强参政议政的能力和水平。发挥农工党特点和优势，开展调查研究，积极建言献策，履行参政议政、民主监督，参加有关中共党组织领导的政治协商职能。 </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中国农工民主党天津市委员会内设6个职能处室。纳入中国农工民主党天津市委员会2023年度部门决算编制范围的单位包括：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1.中国农工民主党天津市委员会本级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xml:space="preserve">1.中国农工民主党天津市委员会2023年度政府性基金预算财政拨款收入支出决算表为空表。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2.中国农工民主党天津市委员会2023年度国有资本经营预算财政拨款收入支出决算表为空表。 </w:t>
      </w:r>
    </w:p>
    <w:p>
      <w:pPr>
        <w:keepNext/>
        <w:keepLines/>
        <w:autoSpaceDE w:val="0"/>
        <w:autoSpaceDN w:val="0"/>
        <w:adjustRightInd w:val="0"/>
        <w:spacing w:line="600" w:lineRule="exact"/>
        <w:ind w:firstLine="600"/>
        <w:jc w:val="left"/>
        <w:outlineLvl w:val="1"/>
        <w:rPr>
          <w:rFonts w:hint="eastAsia" w:ascii="Times New Roman" w:hAnsi="Times New Roman" w:eastAsia="仿宋_GB2312" w:cs="仿宋_GB2312"/>
          <w:kern w:val="0"/>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中国农工民主党天津市委员会2023年度收入、支出决算总计</w:t>
      </w:r>
      <w:r>
        <w:rPr>
          <w:rFonts w:hint="eastAsia" w:ascii="Times New Roman" w:hAnsi="Times New Roman" w:eastAsia="仿宋_GB2312" w:cs="仿宋_GB2312"/>
          <w:sz w:val="30"/>
          <w:szCs w:val="30"/>
          <w:highlight w:val="none"/>
          <w:lang w:eastAsia="zh-CN"/>
        </w:rPr>
        <w:t>11,350,143.59元，与2022年度相比，收、支总计各增加739,656.63元，增长6.97%，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：新增人员，人员经费增加、项目经费增加。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中国农工民主党天津市委员会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11,345,143.59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增加734,756.63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新增人员，人员经费增加、项目经费增加。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11,330,143.59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99.87</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15,000.00元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0.13%</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中国农工民主党天津市委员会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11,350,143.59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745,999.28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新增人员，人员经费增加、项目经费增加。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10,257,413.99元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90.37</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1,092,729.60元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占9.63%。</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中国农工民主党天津市委员会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11,330,143.59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725,999.28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新增人员，人员经费增加、项目经费增加。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中国农工民主党天津市委员会2023年度部门决算一般公共预算财政拨款支出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计11,330,143.59元，占本年支出合计的99.82%，与2022年度相比，一般公共预算财政拨款支出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725,999.28元，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6.85%，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：新增人员，人员经费增加、项目经费增加。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11,330,143.59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951.43元，占86.27%；社会保障和就业支出1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541.2元，占9.06%；卫生健康支出529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650.96元，占4.67%。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11,312,000.00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11,330,143.59</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100.16%</w:t>
      </w:r>
      <w:r>
        <w:rPr>
          <w:rFonts w:hint="eastAsia" w:ascii="Times New Roman" w:hAnsi="Times New Roman" w:eastAsia="仿宋_GB2312" w:cs="仿宋_GB2312"/>
          <w:kern w:val="0"/>
          <w:sz w:val="30"/>
          <w:szCs w:val="30"/>
          <w:highlight w:val="none"/>
        </w:rPr>
        <w:t>。其中：</w:t>
      </w:r>
    </w:p>
    <w:p>
      <w:pPr>
        <w:numPr>
          <w:ilvl w:val="0"/>
          <w:numId w:val="1"/>
        </w:num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一般公共服务支出（类）民主党派及工商联事务（款）行政运行（项）年初预算为8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681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221.83元，完成年初预算的98.93%，决算数小于年初预算数的主要原因是2022年12月有退休人员经费于2023年度核减。</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一般公共服务支出（类）民主党派及工商联事务（款）一般行政管理事务（项）年初预算为225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000元，支出决算为250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721.9元，完成年初预算的111.43%，决算数大于年初预算数的主要原因是中央补助地方民主党派专项经费调剂上年结转结余指标。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一般公共服务支出（类）民主党派及工商联事务（款）参政议政（项）年初预算为700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000元，支出决算为682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462.5元，完成年初预算的97.49%，决算数小于年初预算数的主要原因是压减培训、会议类支出。 </w:t>
      </w:r>
    </w:p>
    <w:p>
      <w:pPr>
        <w:numPr>
          <w:ilvl w:val="0"/>
          <w:numId w:val="2"/>
        </w:numPr>
        <w:autoSpaceDE w:val="0"/>
        <w:autoSpaceDN w:val="0"/>
        <w:adjustRightInd w:val="0"/>
        <w:spacing w:line="600" w:lineRule="exact"/>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一般公共服务支出(类)民主党派及工商联事务(款)其他民主党派及工商联事务支出(项)年初预算为0.00元，追加预算为159,545.20元，支出决算为159,545.20元，完成追加预算的100.00%，决算数等于追加预算数的主要原因是追加了抚恤金。</w:t>
      </w:r>
    </w:p>
    <w:p>
      <w:pPr>
        <w:numPr>
          <w:ilvl w:val="0"/>
          <w:numId w:val="0"/>
        </w:num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5.</w:t>
      </w:r>
      <w:r>
        <w:rPr>
          <w:rFonts w:hint="eastAsia" w:ascii="Times New Roman" w:hAnsi="Times New Roman" w:eastAsia="仿宋_GB2312" w:cs="仿宋_GB2312"/>
          <w:sz w:val="30"/>
          <w:szCs w:val="30"/>
          <w:highlight w:val="none"/>
          <w:lang w:eastAsia="zh-CN"/>
        </w:rPr>
        <w:t>社会保障和就业支出（类）行政事业单位养老支出（款）机关事业单位基本养老保险（项）年初预算为711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000元，支出决算为684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360.8元，完成年初预算的96.25%，决算数小于年初预算数的主要原因是2022年12月有退休人员经费于2023年度核减。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社会保障和就业支出（类）行政事业单位养老支出（款）机关事业单位职业年金缴费支出（项）年初预算为356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000元，支出决算为342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180.4元，完成年初预算的96.12%，决算数小于年初预算数的主要原因是2022年12月有退休人员经费于2023年度核减。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卫生健康支出（类）行政事业单位医疗（款）行政单位医疗（项）年初预算为467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000元，支出决算为444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100.96元，完成年初预算的95.1%，决算数小于年初预算数的主要原因是2022年12月有退休人员经费于2023年度核减。 </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卫生健康支出（类）行政事业单位医疗（款）公务员医疗补助（项）年初预算为89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 xml:space="preserve">550元，完成年初预算的96.12%，决算数小于年初预算数的主要原因是2022年12月有退休人员经费于2023年度核减。 </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中国农工民主党天津市委员会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10,237,413.99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103,204.68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新增人员，人员经费增加。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8,975,215.73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奖励金、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1,262,198.26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物业管理费、差旅费、维修(护)费、租赁费、会议费、培训费、公务接待费、工会经费、福利费、公务用车运行维护费、其他交通费用、税金及附加费用、其他商品和服务支出、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中国农工民主党天津市委员会2023年度无政府性基金预算财政拨款收入、支出和结转结余。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中国农工民主党天津市委员会2023年度无国有资本经营预算财政拨款收入、支出和结转结余。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45"/>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23,000.00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仿宋_GB2312"/>
          <w:kern w:val="0"/>
          <w:sz w:val="30"/>
          <w:szCs w:val="30"/>
          <w:highlight w:val="none"/>
          <w:lang w:val="en-US" w:eastAsia="zh-CN"/>
        </w:rPr>
        <w:t>140,000.00元，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124,687.65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val="en-US" w:eastAsia="zh-CN"/>
        </w:rPr>
        <w:t>38,312.35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76.5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107,527.65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626.62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合理安排三公经费支出，严格按照预算执行。</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2023年新调剂因公出国经费以及公务接待批次增加。</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追加预算为</w:t>
      </w:r>
      <w:r>
        <w:rPr>
          <w:rFonts w:hint="eastAsia" w:ascii="Times New Roman" w:hAnsi="Times New Roman" w:eastAsia="仿宋_GB2312" w:cs="Times New Roman"/>
          <w:kern w:val="0"/>
          <w:sz w:val="30"/>
          <w:szCs w:val="30"/>
          <w:highlight w:val="none"/>
          <w:lang w:val="en-US" w:eastAsia="zh-CN"/>
        </w:rPr>
        <w:t>140,000</w:t>
      </w:r>
      <w:r>
        <w:rPr>
          <w:rFonts w:hint="eastAsia" w:ascii="Times New Roman" w:hAnsi="Times New Roman" w:eastAsia="仿宋_GB2312" w:cs="Times New Roman"/>
          <w:kern w:val="0"/>
          <w:sz w:val="30"/>
          <w:szCs w:val="30"/>
          <w:highlight w:val="none"/>
          <w:lang w:eastAsia="zh-CN"/>
        </w:rPr>
        <w:t>元，</w:t>
      </w:r>
      <w:r>
        <w:rPr>
          <w:rFonts w:hint="eastAsia" w:ascii="Times New Roman" w:hAnsi="Times New Roman" w:eastAsia="仿宋_GB2312" w:cs="仿宋_GB2312"/>
          <w:kern w:val="0"/>
          <w:sz w:val="30"/>
          <w:szCs w:val="30"/>
          <w:highlight w:val="none"/>
        </w:rPr>
        <w:t>支出决算</w:t>
      </w:r>
      <w:r>
        <w:rPr>
          <w:rFonts w:hint="eastAsia" w:ascii="Times New Roman" w:hAnsi="Times New Roman" w:eastAsia="仿宋_GB2312" w:cs="Times New Roman"/>
          <w:kern w:val="0"/>
          <w:sz w:val="30"/>
          <w:szCs w:val="30"/>
          <w:highlight w:val="none"/>
          <w:lang w:eastAsia="zh-CN"/>
        </w:rPr>
        <w:t>103,407.65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kern w:val="0"/>
          <w:sz w:val="30"/>
          <w:szCs w:val="30"/>
          <w:highlight w:val="none"/>
          <w:lang w:eastAsia="zh-CN"/>
        </w:rPr>
        <w:t>减少</w:t>
      </w:r>
      <w:r>
        <w:rPr>
          <w:rFonts w:hint="eastAsia" w:ascii="Times New Roman" w:hAnsi="Times New Roman" w:eastAsia="仿宋_GB2312" w:cs="Times New Roman"/>
          <w:kern w:val="0"/>
          <w:sz w:val="30"/>
          <w:szCs w:val="30"/>
          <w:highlight w:val="none"/>
          <w:lang w:val="en-US" w:eastAsia="zh-CN"/>
        </w:rPr>
        <w:t>36,592.35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val="en-US" w:eastAsia="zh-CN"/>
        </w:rPr>
        <w:t>73</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86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103,407.65</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kern w:val="0"/>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严格控制</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2023年新调剂因公出国经费。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的主要原因是：合理安排公务用车使用，严格按照预算执行。其中：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的主要原因是：合理安排公务用车运行维护费</w:t>
      </w:r>
      <w:r>
        <w:rPr>
          <w:rFonts w:hint="eastAsia" w:ascii="Times New Roman" w:hAnsi="Times New Roman" w:eastAsia="仿宋_GB2312" w:cs="仿宋_GB2312"/>
          <w:kern w:val="0"/>
          <w:sz w:val="30"/>
          <w:szCs w:val="30"/>
          <w:highlight w:val="none"/>
          <w:lang w:eastAsia="zh-CN"/>
        </w:rPr>
        <w:t>支出</w:t>
      </w:r>
      <w:r>
        <w:rPr>
          <w:rFonts w:hint="eastAsia" w:ascii="Times New Roman" w:hAnsi="Times New Roman" w:eastAsia="仿宋_GB2312" w:cs="仿宋_GB2312"/>
          <w:kern w:val="0"/>
          <w:sz w:val="30"/>
          <w:szCs w:val="30"/>
          <w:highlight w:val="none"/>
        </w:rPr>
        <w:t>，严格按照预算执行。截至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公务用车购置费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6,280.00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1,720.00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4,120.00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190.74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eastAsia="zh-CN"/>
        </w:rPr>
        <w:t>厉行节约，</w:t>
      </w:r>
      <w:r>
        <w:rPr>
          <w:rFonts w:hint="eastAsia" w:ascii="Times New Roman" w:hAnsi="Times New Roman" w:eastAsia="仿宋_GB2312" w:cs="仿宋_GB2312"/>
          <w:sz w:val="30"/>
          <w:szCs w:val="30"/>
          <w:highlight w:val="none"/>
          <w:lang w:eastAsia="zh-CN"/>
        </w:rPr>
        <w:t>严格控制</w:t>
      </w:r>
      <w:r>
        <w:rPr>
          <w:rFonts w:hint="eastAsia" w:ascii="Times New Roman" w:hAnsi="Times New Roman" w:eastAsia="仿宋_GB2312" w:cs="仿宋_GB2312"/>
          <w:kern w:val="0"/>
          <w:sz w:val="30"/>
          <w:szCs w:val="30"/>
          <w:highlight w:val="none"/>
        </w:rPr>
        <w:t>公务接待费；决算数较上年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公务接待批次增加。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53</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中国农工民主党天津市委员会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1,262,198.26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696,368.30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35.55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2023年搬入新址后，无物业管理费、房租等费用，且机关严格控制差旅费、会议费。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中国农工民主党天津市委员会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17,505.00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17,505.00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17,505.00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17,505.00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中国农工民主党天津市委员会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2</w:t>
      </w:r>
      <w:r>
        <w:rPr>
          <w:rFonts w:ascii="Times New Roman" w:hAnsi="Times New Roman" w:eastAsia="仿宋_GB2312" w:cs="Times New Roman"/>
          <w:kern w:val="0"/>
          <w:sz w:val="30"/>
          <w:szCs w:val="30"/>
          <w:highlight w:val="none"/>
        </w:rPr>
        <w:t>辆</w:t>
      </w:r>
      <w:r>
        <w:rPr>
          <w:rFonts w:hint="eastAsia" w:eastAsia="仿宋_GB2312"/>
          <w:sz w:val="30"/>
          <w:szCs w:val="30"/>
          <w:highlight w:val="none"/>
          <w:lang w:eastAsia="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根据预算绩效管理要求，中国农工民主党天津市委员会2023年度已对4个市级项目开展绩效自评，涉及金额1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545.2元，自评结果已随部门决算一并公开。本部门2023年度已对1个项目开展部门评价，涉及金额150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bookmarkStart w:id="0" w:name="_GoBack"/>
      <w:bookmarkEnd w:id="0"/>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中国农工民主党天津市委员会不属于乡、镇、街级单位，不涉及公开2022年度教育、医疗卫生、社会保障和就业、住房保障、涉农补贴等民生支出情况。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74AC4"/>
    <w:multiLevelType w:val="singleLevel"/>
    <w:tmpl w:val="C4774AC4"/>
    <w:lvl w:ilvl="0" w:tentative="0">
      <w:start w:val="1"/>
      <w:numFmt w:val="decimal"/>
      <w:suff w:val="space"/>
      <w:lvlText w:val="%1."/>
      <w:lvlJc w:val="left"/>
    </w:lvl>
  </w:abstractNum>
  <w:abstractNum w:abstractNumId="1">
    <w:nsid w:val="04E6D8ED"/>
    <w:multiLevelType w:val="singleLevel"/>
    <w:tmpl w:val="04E6D8ED"/>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5MzNiZGRhOWRiOTFkNGYxOGU0YjQyMzA3NTQ5OTk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2B35B1"/>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7E6B9D"/>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hp</cp:lastModifiedBy>
  <dcterms:modified xsi:type="dcterms:W3CDTF">2024-08-07T08:06:21Z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992FAC32C90F4865A2575CD883AB616F_13</vt:lpwstr>
  </property>
</Properties>
</file>