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v:background id="_x0000_s1025" filled="t" fillcolor="white">
      <v:fill color2="white"/>
    </v:background>
  </w:background>
  <w:body>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240" w:lineRule="auto"/>
        <w:jc w:val="center"/>
        <w:rPr>
          <w:rFonts w:ascii="方正小标宋简体" w:eastAsia="方正小标宋简体" w:hAnsi="方正小标宋简体" w:cs="方正小标宋简体" w:hint="eastAsia"/>
          <w:sz w:val="48"/>
          <w:szCs w:val="48"/>
          <w:highlight w:val="none"/>
          <w:lang w:val="en-US" w:eastAsia="zh-CN"/>
        </w:rPr>
      </w:pPr>
      <w:r>
        <w:rPr>
          <w:rFonts w:ascii="方正小标宋简体" w:eastAsia="方正小标宋简体" w:hAnsi="方正小标宋简体" w:cs="方正小标宋简体" w:hint="eastAsia"/>
          <w:sz w:val="48"/>
          <w:szCs w:val="48"/>
          <w:highlight w:val="none"/>
          <w:lang w:val="en-US" w:eastAsia="zh-CN"/>
        </w:rPr>
        <w:t xml:space="preserve">中国农工民主党天津市委员会</w:t>
      </w:r>
    </w:p>
    <w:p>
      <w:pPr>
        <w:divId w:val="0"/>
        <w:spacing w:line="240" w:lineRule="auto"/>
        <w:jc w:val="center"/>
        <w:rPr>
          <w:rFonts w:ascii="方正小标宋简体" w:eastAsia="方正小标宋简体" w:hAnsi="方正小标宋简体" w:cs="方正小标宋简体" w:hint="eastAsia"/>
          <w:w w:val="95"/>
          <w:sz w:val="48"/>
          <w:szCs w:val="48"/>
          <w:highlight w:val="none"/>
        </w:rPr>
      </w:pPr>
      <w:r>
        <w:rPr>
          <w:rFonts w:ascii="方正小标宋简体" w:eastAsia="方正小标宋简体" w:hAnsi="方正小标宋简体" w:cs="方正小标宋简体" w:hint="eastAsia"/>
          <w:sz w:val="48"/>
          <w:szCs w:val="48"/>
          <w:highlight w:val="none"/>
          <w:lang w:eastAsia="zh-CN"/>
        </w:rPr>
        <w:t xml:space="preserve">202</w:t>
      </w:r>
      <w:r>
        <w:rPr>
          <w:rFonts w:ascii="方正小标宋简体" w:eastAsia="方正小标宋简体" w:hAnsi="方正小标宋简体" w:cs="方正小标宋简体" w:hint="eastAsia"/>
          <w:sz w:val="48"/>
          <w:szCs w:val="48"/>
          <w:highlight w:val="none"/>
          <w:lang w:val="en-US" w:eastAsia="zh-CN"/>
        </w:rPr>
        <w:t xml:space="preserve">5</w:t>
      </w:r>
      <w:r>
        <w:rPr>
          <w:rFonts w:ascii="方正小标宋简体" w:eastAsia="方正小标宋简体" w:hAnsi="方正小标宋简体" w:cs="方正小标宋简体" w:hint="eastAsia"/>
          <w:sz w:val="48"/>
          <w:szCs w:val="48"/>
          <w:highlight w:val="none"/>
        </w:rPr>
        <w:t xml:space="preserve">年度部门决算</w:t>
      </w: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600" w:lineRule="exact"/>
        <w:jc w:val="center"/>
        <w:rPr>
          <w:rFonts w:ascii="黑体" w:eastAsia="黑体" w:hint="eastAsia"/>
          <w:sz w:val="44"/>
          <w:szCs w:val="44"/>
          <w:highlight w:val="none"/>
        </w:rPr>
        <w:sectPr>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start="1"/>
          <w:textDirection w:val="lrTb"/>
          <w:docGrid w:type="lines" w:linePitch="312"/>
        </w:sectPr>
      </w:pPr>
    </w:p>
    <w:p>
      <w:pPr>
        <w:divId w:val="0"/>
        <w:spacing w:line="600" w:lineRule="exact"/>
        <w:jc w:val="center"/>
        <w:rPr>
          <w:rFonts w:ascii="黑体" w:eastAsia="黑体" w:hint="eastAsia"/>
          <w:sz w:val="44"/>
          <w:szCs w:val="44"/>
          <w:highlight w:val="none"/>
        </w:rPr>
      </w:pPr>
    </w:p>
    <w:p>
      <w:pPr>
        <w:divId w:val="0"/>
        <w:spacing w:line="600" w:lineRule="exact"/>
        <w:jc w:val="center"/>
        <w:rPr>
          <w:rFonts w:ascii="黑体" w:eastAsia="黑体" w:hint="eastAsia"/>
          <w:sz w:val="44"/>
          <w:szCs w:val="44"/>
          <w:highlight w:val="none"/>
        </w:rPr>
      </w:pPr>
      <w:r>
        <w:rPr>
          <w:rFonts w:ascii="黑体" w:eastAsia="黑体" w:hint="eastAsia"/>
          <w:sz w:val="44"/>
          <w:szCs w:val="44"/>
          <w:highlight w:val="none"/>
        </w:rPr>
        <w:t xml:space="preserve">目</w:t>
      </w:r>
      <w:r>
        <w:rPr>
          <w:rFonts w:ascii="黑体" w:eastAsia="黑体" w:hint="eastAsia"/>
          <w:sz w:val="44"/>
          <w:szCs w:val="44"/>
          <w:highlight w:val="none"/>
        </w:rPr>
        <w:t xml:space="preserve">  </w:t>
      </w:r>
      <w:r>
        <w:rPr>
          <w:rFonts w:ascii="黑体" w:eastAsia="黑体" w:hint="eastAsia"/>
          <w:sz w:val="44"/>
          <w:szCs w:val="44"/>
          <w:highlight w:val="none"/>
        </w:rPr>
        <w:t xml:space="preserve"> </w:t>
      </w:r>
      <w:r>
        <w:rPr>
          <w:rFonts w:ascii="黑体" w:eastAsia="黑体" w:hint="eastAsia"/>
          <w:sz w:val="44"/>
          <w:szCs w:val="44"/>
          <w:highlight w:val="none"/>
        </w:rPr>
        <w:t xml:space="preserve">录</w:t>
      </w:r>
    </w:p>
    <w:p>
      <w:pPr>
        <w:divId w:val="0"/>
        <w:spacing w:line="600" w:lineRule="exact"/>
        <w:rPr>
          <w:rFonts w:ascii="黑体" w:eastAsia="黑体" w:hint="eastAsia"/>
          <w:sz w:val="30"/>
          <w:szCs w:val="30"/>
          <w:highlight w:val="none"/>
        </w:rPr>
      </w:pPr>
    </w:p>
    <w:p>
      <w:pPr>
        <w:pStyle w:val="目录1"/>
        <w:tabs>
          <w:tab w:val="clear" w:pos="8296"/>
          <w:tab w:val="right" w:leader="dot" w:pos="8306"/>
        </w:tabs>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TOC \o "1-3" \h \z \u</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第一部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概</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况</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default"/>
          <w:sz w:val="30"/>
          <w:szCs w:val="30"/>
          <w:highlight w:val="none"/>
          <w:lang w:val="en-US" w:eastAsia="zh-CN"/>
        </w:rPr>
        <w:fldChar w:fldCharType="begin"/>
      </w:r>
      <w:r>
        <w:rPr>
          <w:rFonts w:ascii="Times New Roman" w:eastAsia="方正小标宋简体" w:hAnsi="Times New Roman" w:cs="Times New Roman" w:hint="default"/>
          <w:sz w:val="30"/>
          <w:szCs w:val="30"/>
          <w:highlight w:val="none"/>
          <w:lang w:val="en-US" w:eastAsia="zh-CN"/>
        </w:rPr>
        <w:instrText xml:space="preserve"> PAGEREF _Toc31751 \h </w:instrText>
      </w:r>
      <w:r>
        <w:rPr>
          <w:rFonts w:ascii="Times New Roman" w:eastAsia="方正小标宋简体" w:hAnsi="Times New Roman" w:cs="Times New Roman" w:hint="default"/>
          <w:sz w:val="30"/>
          <w:szCs w:val="30"/>
          <w:highlight w:val="none"/>
          <w:lang w:val="en-US" w:eastAsia="zh-CN"/>
        </w:rPr>
        <w:fldChar w:fldCharType="separate"/>
      </w:r>
      <w:r>
        <w:rPr>
          <w:rFonts w:ascii="Times New Roman" w:eastAsia="方正小标宋简体" w:hAnsi="Times New Roman" w:cs="Times New Roman" w:hint="default"/>
          <w:sz w:val="30"/>
          <w:szCs w:val="30"/>
          <w:highlight w:val="none"/>
          <w:lang w:val="en-US" w:eastAsia="zh-CN"/>
        </w:rPr>
        <w:t xml:space="preserve">1</w:t>
      </w:r>
      <w:r>
        <w:rPr>
          <w:rFonts w:ascii="Times New Roman" w:eastAsia="方正小标宋简体" w:hAnsi="Times New Roman" w:cs="Times New Roman" w:hint="default"/>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240" w:firstLine="0" w:leftChars="100" w:firstLineChars="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一、主要职责</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default"/>
          <w:sz w:val="30"/>
          <w:szCs w:val="30"/>
          <w:highlight w:val="none"/>
          <w:lang w:val="en-US" w:eastAsia="zh-CN"/>
        </w:rPr>
        <w:fldChar w:fldCharType="begin"/>
      </w:r>
      <w:r>
        <w:rPr>
          <w:rFonts w:ascii="Times New Roman" w:eastAsia="方正小标宋简体" w:hAnsi="Times New Roman" w:cs="Times New Roman" w:hint="default"/>
          <w:sz w:val="30"/>
          <w:szCs w:val="30"/>
          <w:highlight w:val="none"/>
          <w:lang w:val="en-US" w:eastAsia="zh-CN"/>
        </w:rPr>
        <w:instrText xml:space="preserve"> PAGEREF _Toc957 \h </w:instrText>
      </w:r>
      <w:r>
        <w:rPr>
          <w:rFonts w:ascii="Times New Roman" w:eastAsia="方正小标宋简体" w:hAnsi="Times New Roman" w:cs="Times New Roman" w:hint="default"/>
          <w:sz w:val="30"/>
          <w:szCs w:val="30"/>
          <w:highlight w:val="none"/>
          <w:lang w:val="en-US" w:eastAsia="zh-CN"/>
        </w:rPr>
        <w:fldChar w:fldCharType="separate"/>
      </w:r>
      <w:r>
        <w:rPr>
          <w:rFonts w:ascii="Times New Roman" w:eastAsia="方正小标宋简体" w:hAnsi="Times New Roman" w:cs="Times New Roman" w:hint="default"/>
          <w:sz w:val="30"/>
          <w:szCs w:val="30"/>
          <w:highlight w:val="none"/>
          <w:lang w:val="en-US" w:eastAsia="zh-CN"/>
        </w:rPr>
        <w:t xml:space="preserve">1</w:t>
      </w:r>
      <w:r>
        <w:rPr>
          <w:rFonts w:ascii="Times New Roman" w:eastAsia="方正小标宋简体" w:hAnsi="Times New Roman" w:cs="Times New Roman" w:hint="default"/>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二、机构设置</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_Toc9641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第二部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202</w:t>
      </w:r>
      <w:r>
        <w:rPr>
          <w:rFonts w:ascii="方正小标宋简体" w:eastAsia="方正小标宋简体" w:hAnsi="方正小标宋简体" w:cs="方正小标宋简体" w:hint="eastAsia"/>
          <w:sz w:val="30"/>
          <w:szCs w:val="30"/>
          <w:highlight w:val="none"/>
          <w:lang w:val="en-US" w:eastAsia="zh-CN"/>
        </w:rPr>
        <w:t xml:space="preserve">5</w:t>
      </w:r>
      <w:r>
        <w:rPr>
          <w:rFonts w:ascii="方正小标宋简体" w:eastAsia="方正小标宋简体" w:hAnsi="方正小标宋简体" w:cs="方正小标宋简体" w:hint="eastAsia"/>
          <w:sz w:val="30"/>
          <w:szCs w:val="30"/>
          <w:highlight w:val="none"/>
          <w:lang w:val="en-US" w:eastAsia="zh-CN"/>
        </w:rPr>
        <w:t xml:space="preserve">年度部门决算表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_Toc22959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一、《收入支出决算总表》</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_Toc24940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3</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二、《收入决算表（按功能分类列示）》</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_Toc19253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4</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三、《收入决算表（按单位列示）》</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_Toc1420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6</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四、《支出决算表》</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_Toc16222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8</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五、《财政拨款收入支出决算总表》</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default"/>
          <w:sz w:val="30"/>
          <w:szCs w:val="30"/>
          <w:highlight w:val="none"/>
          <w:lang w:val="en-US" w:eastAsia="zh-CN"/>
        </w:rPr>
        <w:fldChar w:fldCharType="begin"/>
      </w:r>
      <w:r>
        <w:rPr>
          <w:rFonts w:ascii="Times New Roman" w:eastAsia="方正小标宋简体" w:hAnsi="Times New Roman" w:cs="Times New Roman" w:hint="default"/>
          <w:sz w:val="30"/>
          <w:szCs w:val="30"/>
          <w:highlight w:val="none"/>
          <w:lang w:val="en-US" w:eastAsia="zh-CN"/>
        </w:rPr>
        <w:instrText xml:space="preserve"> PAGEREF _Toc10133 \h </w:instrText>
      </w:r>
      <w:r>
        <w:rPr>
          <w:rFonts w:ascii="Times New Roman" w:eastAsia="方正小标宋简体" w:hAnsi="Times New Roman" w:cs="Times New Roman" w:hint="default"/>
          <w:sz w:val="30"/>
          <w:szCs w:val="30"/>
          <w:highlight w:val="none"/>
          <w:lang w:val="en-US" w:eastAsia="zh-CN"/>
        </w:rPr>
        <w:fldChar w:fldCharType="separate"/>
      </w:r>
      <w:r>
        <w:rPr>
          <w:rFonts w:ascii="Times New Roman" w:eastAsia="方正小标宋简体" w:hAnsi="Times New Roman" w:cs="Times New Roman" w:hint="default"/>
          <w:sz w:val="30"/>
          <w:szCs w:val="30"/>
          <w:highlight w:val="none"/>
          <w:lang w:val="en-US" w:eastAsia="zh-CN"/>
        </w:rPr>
        <w:t xml:space="preserve">10</w:t>
      </w:r>
      <w:r>
        <w:rPr>
          <w:rFonts w:ascii="Times New Roman" w:eastAsia="方正小标宋简体" w:hAnsi="Times New Roman" w:cs="Times New Roman" w:hint="default"/>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六、《一般公共预算财政拨款支出决算表》</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_Toc32088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12</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七、《一般公共预算财政拨款基本支出决算表》</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_Toc8838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14</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八、《政府性基金预算财政拨款收入支出决算表》</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_Toc2699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17</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九、《国有资本经营预算财政拨款收入支出决算表》</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_Toc11009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18</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十、《财政拨</w:t>
      </w:r>
      <w:r>
        <w:rPr>
          <w:rFonts w:ascii="仿宋" w:eastAsia="仿宋" w:hAnsi="仿宋" w:cs="仿宋" w:hint="eastAsia"/>
          <w:bCs w:val="0"/>
          <w:sz w:val="30"/>
          <w:szCs w:val="30"/>
          <w:highlight w:val="none"/>
          <w:lang w:val="en-US" w:eastAsia="zh-CN" w:bidi="ar-SA"/>
        </w:rPr>
        <w:t xml:space="preserve">款</w:t>
      </w:r>
      <w:r>
        <w:rPr>
          <w:rFonts w:ascii="仿宋" w:eastAsia="仿宋" w:hAnsi="仿宋" w:cs="仿宋" w:hint="eastAsia"/>
          <w:bCs w:val="0"/>
          <w:sz w:val="30"/>
          <w:szCs w:val="30"/>
          <w:highlight w:val="none"/>
          <w:lang w:val="en-US" w:eastAsia="zh-CN" w:bidi="ar-SA"/>
        </w:rPr>
        <w:t xml:space="preserve">“</w:t>
      </w:r>
      <w:r>
        <w:rPr>
          <w:rFonts w:ascii="仿宋" w:eastAsia="仿宋" w:hAnsi="仿宋" w:cs="仿宋" w:hint="eastAsia"/>
          <w:bCs w:val="0"/>
          <w:sz w:val="30"/>
          <w:szCs w:val="30"/>
          <w:highlight w:val="none"/>
          <w:lang w:val="en-US" w:eastAsia="zh-CN" w:bidi="ar-SA"/>
        </w:rPr>
        <w:t xml:space="preserve">三</w:t>
      </w:r>
      <w:r>
        <w:rPr>
          <w:rFonts w:ascii="仿宋" w:eastAsia="仿宋" w:hAnsi="仿宋" w:cs="仿宋" w:hint="eastAsia"/>
          <w:bCs w:val="0"/>
          <w:sz w:val="30"/>
          <w:szCs w:val="30"/>
          <w:highlight w:val="none"/>
          <w:lang w:val="en-US" w:eastAsia="zh-CN" w:bidi="ar-SA"/>
        </w:rPr>
        <w:t xml:space="preserve">公</w:t>
      </w:r>
      <w:r>
        <w:rPr>
          <w:rFonts w:ascii="仿宋" w:eastAsia="仿宋" w:hAnsi="仿宋" w:cs="仿宋" w:hint="eastAsia"/>
          <w:bCs w:val="0"/>
          <w:sz w:val="30"/>
          <w:szCs w:val="30"/>
          <w:highlight w:val="none"/>
          <w:lang w:val="en-US" w:eastAsia="zh-CN" w:bidi="ar-SA"/>
        </w:rPr>
        <w:t xml:space="preserve">”</w:t>
      </w:r>
      <w:r>
        <w:rPr>
          <w:rFonts w:ascii="仿宋" w:eastAsia="仿宋" w:hAnsi="仿宋" w:cs="仿宋" w:hint="eastAsia"/>
          <w:bCs w:val="0"/>
          <w:sz w:val="30"/>
          <w:szCs w:val="30"/>
          <w:highlight w:val="none"/>
          <w:lang w:val="en-US" w:eastAsia="zh-CN" w:bidi="ar-SA"/>
        </w:rPr>
        <w:t xml:space="preserve">经费支出决算表》</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_Toc25214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19</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十一、《项目支出决算表》</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_Toc18972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20</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第三部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202</w:t>
      </w:r>
      <w:r>
        <w:rPr>
          <w:rFonts w:ascii="方正小标宋简体" w:eastAsia="方正小标宋简体" w:hAnsi="方正小标宋简体" w:cs="方正小标宋简体" w:hint="eastAsia"/>
          <w:sz w:val="30"/>
          <w:szCs w:val="30"/>
          <w:highlight w:val="none"/>
          <w:lang w:val="en-US" w:eastAsia="zh-CN"/>
        </w:rPr>
        <w:t xml:space="preserve">5</w:t>
      </w:r>
      <w:r>
        <w:rPr>
          <w:rFonts w:ascii="方正小标宋简体" w:eastAsia="方正小标宋简体" w:hAnsi="方正小标宋简体" w:cs="方正小标宋简体" w:hint="eastAsia"/>
          <w:sz w:val="30"/>
          <w:szCs w:val="30"/>
          <w:highlight w:val="none"/>
          <w:lang w:val="en-US" w:eastAsia="zh-CN"/>
        </w:rPr>
        <w:t xml:space="preserve">年度部门决算情况说明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_Toc7922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21</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一、收入支出决算总体情况说明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_Toc7052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21</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二、收入决算情况说明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_Toc6621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21</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仿宋" w:eastAsia="仿宋" w:hAnsi="仿宋" w:cs="仿宋" w:hint="eastAsia"/>
          <w:bCs w:val="0"/>
          <w:sz w:val="30"/>
          <w:szCs w:val="30"/>
          <w:highlight w:val="none"/>
          <w:lang w:val="en-US" w:eastAsia="zh-CN" w:bidi="ar-SA"/>
        </w:rPr>
        <w:t xml:space="preserve">三、支出决算情况说明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_Toc21049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21</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bCs w:val="0"/>
          <w:sz w:val="30"/>
          <w:szCs w:val="30"/>
          <w:highlight w:val="none"/>
          <w:lang w:val="en-US" w:eastAsia="zh-CN" w:bidi="ar-SA"/>
        </w:rPr>
      </w:pPr>
      <w:r>
        <w:rPr>
          <w:rFonts w:ascii="仿宋" w:eastAsia="仿宋" w:hAnsi="仿宋" w:cs="仿宋" w:hint="eastAsia"/>
          <w:bCs w:val="0"/>
          <w:sz w:val="30"/>
          <w:szCs w:val="30"/>
          <w:highlight w:val="none"/>
          <w:lang w:val="en-US" w:eastAsia="zh-CN" w:bidi="ar-SA"/>
        </w:rPr>
        <w:fldChar w:fldCharType="begin"/>
      </w:r>
      <w:r>
        <w:rPr>
          <w:rFonts w:ascii="仿宋" w:eastAsia="仿宋" w:hAnsi="仿宋" w:cs="仿宋" w:hint="eastAsia"/>
          <w:bCs w:val="0"/>
          <w:sz w:val="30"/>
          <w:szCs w:val="30"/>
          <w:highlight w:val="none"/>
          <w:lang w:val="en-US" w:eastAsia="zh-CN" w:bidi="ar-SA"/>
        </w:rPr>
        <w:instrText xml:space="preserve"> HYPERLINK   \l " "</w:instrText>
      </w:r>
      <w:r>
        <w:rPr>
          <w:rFonts w:ascii="仿宋" w:eastAsia="仿宋" w:hAnsi="仿宋" w:cs="仿宋" w:hint="eastAsia"/>
          <w:bCs w:val="0"/>
          <w:sz w:val="30"/>
          <w:szCs w:val="30"/>
          <w:highlight w:val="none"/>
          <w:lang w:val="en-US" w:eastAsia="zh-CN" w:bidi="ar-SA"/>
        </w:rPr>
        <w:fldChar w:fldCharType="separate"/>
      </w:r>
      <w:r>
        <w:rPr>
          <w:rFonts w:ascii="仿宋" w:eastAsia="仿宋" w:hAnsi="仿宋" w:cs="仿宋" w:hint="eastAsia"/>
          <w:bCs w:val="0"/>
          <w:sz w:val="30"/>
          <w:szCs w:val="30"/>
          <w:highlight w:val="none"/>
          <w:lang w:val="en-US" w:eastAsia="zh-CN" w:bidi="ar-SA"/>
        </w:rPr>
        <w:t xml:space="preserve">四、财政拨款收支决算总体情况说明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_Toc8231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22</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bCs w:val="0"/>
          <w:sz w:val="30"/>
          <w:szCs w:val="30"/>
          <w:highlight w:val="none"/>
          <w:lang w:val="en-US" w:eastAsia="zh-CN" w:bidi="ar-SA"/>
        </w:rPr>
        <w:fldChar w:fldCharType="end"/>
      </w:r>
    </w:p>
    <w:p>
      <w:pPr>
        <w:pStyle w:val="目录1"/>
        <w:tabs>
          <w:tab w:val="clear" w:pos="8296"/>
          <w:tab w:val="right" w:leader="dot" w:pos="8306"/>
        </w:tabs>
        <w:ind w:left="0" w:firstLine="240" w:leftChars="0" w:firstLineChars="80"/>
        <w:rPr>
          <w:rFonts w:ascii="仿宋" w:eastAsia="仿宋" w:hAnsi="仿宋" w:cs="仿宋" w:hint="eastAsia"/>
          <w:bCs w:val="0"/>
          <w:sz w:val="30"/>
          <w:szCs w:val="30"/>
          <w:highlight w:val="none"/>
          <w:lang w:val="en-US" w:eastAsia="zh-CN" w:bidi="ar-SA"/>
        </w:rPr>
      </w:pPr>
      <w:r>
        <w:rPr>
          <w:rFonts w:ascii="仿宋" w:eastAsia="仿宋" w:hAnsi="仿宋" w:cs="仿宋" w:hint="eastAsia"/>
          <w:bCs w:val="0"/>
          <w:sz w:val="30"/>
          <w:szCs w:val="30"/>
          <w:highlight w:val="none"/>
          <w:lang w:val="en-US" w:eastAsia="zh-CN" w:bidi="ar-SA"/>
        </w:rPr>
        <w:fldChar w:fldCharType="begin"/>
      </w:r>
      <w:r>
        <w:rPr>
          <w:rFonts w:ascii="仿宋" w:eastAsia="仿宋" w:hAnsi="仿宋" w:cs="仿宋" w:hint="eastAsia"/>
          <w:bCs w:val="0"/>
          <w:sz w:val="30"/>
          <w:szCs w:val="30"/>
          <w:highlight w:val="none"/>
          <w:lang w:val="en-US" w:eastAsia="zh-CN" w:bidi="ar-SA"/>
        </w:rPr>
        <w:instrText xml:space="preserve"> HYPERLINK   \l " "</w:instrText>
      </w:r>
      <w:r>
        <w:rPr>
          <w:rFonts w:ascii="仿宋" w:eastAsia="仿宋" w:hAnsi="仿宋" w:cs="仿宋" w:hint="eastAsia"/>
          <w:bCs w:val="0"/>
          <w:sz w:val="30"/>
          <w:szCs w:val="30"/>
          <w:highlight w:val="none"/>
          <w:lang w:val="en-US" w:eastAsia="zh-CN" w:bidi="ar-SA"/>
        </w:rPr>
        <w:fldChar w:fldCharType="separate"/>
      </w:r>
      <w:r>
        <w:rPr>
          <w:rFonts w:ascii="仿宋" w:eastAsia="仿宋" w:hAnsi="仿宋" w:cs="仿宋" w:hint="eastAsia"/>
          <w:bCs w:val="0"/>
          <w:sz w:val="30"/>
          <w:szCs w:val="30"/>
          <w:highlight w:val="none"/>
          <w:lang w:val="en-US" w:eastAsia="zh-CN" w:bidi="ar-SA"/>
        </w:rPr>
        <w:t xml:space="preserve">五、一般公共预算财政拨款支出决算情况说明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_Toc24201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22</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bCs w:val="0"/>
          <w:sz w:val="30"/>
          <w:szCs w:val="30"/>
          <w:highlight w:val="none"/>
          <w:lang w:val="en-US" w:eastAsia="zh-CN" w:bidi="ar-SA"/>
        </w:rPr>
        <w:fldChar w:fldCharType="end"/>
      </w:r>
    </w:p>
    <w:p>
      <w:pPr>
        <w:pStyle w:val="目录1"/>
        <w:tabs>
          <w:tab w:val="clear" w:pos="8296"/>
          <w:tab w:val="right" w:leader="dot" w:pos="8306"/>
        </w:tabs>
        <w:ind w:left="0" w:firstLine="240" w:leftChars="0" w:firstLineChars="80"/>
        <w:rPr>
          <w:rFonts w:ascii="仿宋" w:eastAsia="仿宋" w:hAnsi="仿宋" w:cs="仿宋" w:hint="eastAsia"/>
          <w:bCs w:val="0"/>
          <w:sz w:val="30"/>
          <w:szCs w:val="30"/>
          <w:highlight w:val="none"/>
          <w:lang w:val="en-US" w:eastAsia="zh-CN" w:bidi="ar-SA"/>
        </w:rPr>
      </w:pPr>
      <w:r>
        <w:rPr>
          <w:rFonts w:ascii="仿宋" w:eastAsia="仿宋" w:hAnsi="仿宋" w:cs="仿宋" w:hint="eastAsia"/>
          <w:bCs w:val="0"/>
          <w:sz w:val="30"/>
          <w:szCs w:val="30"/>
          <w:highlight w:val="none"/>
          <w:lang w:val="en-US" w:eastAsia="zh-CN" w:bidi="ar-SA"/>
        </w:rPr>
        <w:fldChar w:fldCharType="begin"/>
      </w:r>
      <w:r>
        <w:rPr>
          <w:rFonts w:ascii="仿宋" w:eastAsia="仿宋" w:hAnsi="仿宋" w:cs="仿宋" w:hint="eastAsia"/>
          <w:bCs w:val="0"/>
          <w:sz w:val="30"/>
          <w:szCs w:val="30"/>
          <w:highlight w:val="none"/>
          <w:lang w:val="en-US" w:eastAsia="zh-CN" w:bidi="ar-SA"/>
        </w:rPr>
        <w:instrText xml:space="preserve"> HYPERLINK   \l " "</w:instrText>
      </w:r>
      <w:r>
        <w:rPr>
          <w:rFonts w:ascii="仿宋" w:eastAsia="仿宋" w:hAnsi="仿宋" w:cs="仿宋" w:hint="eastAsia"/>
          <w:bCs w:val="0"/>
          <w:sz w:val="30"/>
          <w:szCs w:val="30"/>
          <w:highlight w:val="none"/>
          <w:lang w:val="en-US" w:eastAsia="zh-CN" w:bidi="ar-SA"/>
        </w:rPr>
        <w:fldChar w:fldCharType="separate"/>
      </w:r>
      <w:r>
        <w:rPr>
          <w:rFonts w:ascii="仿宋" w:eastAsia="仿宋" w:hAnsi="仿宋" w:cs="仿宋" w:hint="eastAsia"/>
          <w:bCs w:val="0"/>
          <w:sz w:val="30"/>
          <w:szCs w:val="30"/>
          <w:highlight w:val="none"/>
          <w:lang w:val="en-US" w:eastAsia="zh-CN" w:bidi="ar-SA"/>
        </w:rPr>
        <w:t xml:space="preserve">六、一般公共预算财政拨款基本支出决算情况说明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_Toc17234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24</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bCs w:val="0"/>
          <w:sz w:val="30"/>
          <w:szCs w:val="30"/>
          <w:highlight w:val="none"/>
          <w:lang w:val="en-US" w:eastAsia="zh-CN" w:bidi="ar-SA"/>
        </w:rPr>
        <w:fldChar w:fldCharType="end"/>
      </w:r>
    </w:p>
    <w:p>
      <w:pPr>
        <w:pStyle w:val="目录1"/>
        <w:tabs>
          <w:tab w:val="clear" w:pos="8296"/>
          <w:tab w:val="right" w:leader="dot" w:pos="8306"/>
        </w:tabs>
        <w:ind w:left="0" w:firstLine="240" w:leftChars="0" w:firstLineChars="80"/>
        <w:rPr>
          <w:rFonts w:ascii="仿宋" w:eastAsia="仿宋" w:hAnsi="仿宋" w:cs="仿宋" w:hint="eastAsia"/>
          <w:bCs w:val="0"/>
          <w:sz w:val="30"/>
          <w:szCs w:val="30"/>
          <w:highlight w:val="none"/>
          <w:lang w:val="en-US" w:eastAsia="zh-CN" w:bidi="ar-SA"/>
        </w:rPr>
      </w:pPr>
      <w:r>
        <w:rPr>
          <w:rFonts w:ascii="仿宋" w:eastAsia="仿宋" w:hAnsi="仿宋" w:cs="仿宋" w:hint="eastAsia"/>
          <w:bCs w:val="0"/>
          <w:sz w:val="30"/>
          <w:szCs w:val="30"/>
          <w:highlight w:val="none"/>
          <w:lang w:val="en-US" w:eastAsia="zh-CN" w:bidi="ar-SA"/>
        </w:rPr>
        <w:fldChar w:fldCharType="begin"/>
      </w:r>
      <w:r>
        <w:rPr>
          <w:rFonts w:ascii="仿宋" w:eastAsia="仿宋" w:hAnsi="仿宋" w:cs="仿宋" w:hint="eastAsia"/>
          <w:bCs w:val="0"/>
          <w:sz w:val="30"/>
          <w:szCs w:val="30"/>
          <w:highlight w:val="none"/>
          <w:lang w:val="en-US" w:eastAsia="zh-CN" w:bidi="ar-SA"/>
        </w:rPr>
        <w:instrText xml:space="preserve"> HYPERLINK   \l " "</w:instrText>
      </w:r>
      <w:r>
        <w:rPr>
          <w:rFonts w:ascii="仿宋" w:eastAsia="仿宋" w:hAnsi="仿宋" w:cs="仿宋" w:hint="eastAsia"/>
          <w:bCs w:val="0"/>
          <w:sz w:val="30"/>
          <w:szCs w:val="30"/>
          <w:highlight w:val="none"/>
          <w:lang w:val="en-US" w:eastAsia="zh-CN" w:bidi="ar-SA"/>
        </w:rPr>
        <w:fldChar w:fldCharType="separate"/>
      </w:r>
      <w:r>
        <w:rPr>
          <w:rFonts w:ascii="仿宋" w:eastAsia="仿宋" w:hAnsi="仿宋" w:cs="仿宋" w:hint="eastAsia"/>
          <w:bCs w:val="0"/>
          <w:sz w:val="30"/>
          <w:szCs w:val="30"/>
          <w:highlight w:val="none"/>
          <w:lang w:val="en-US" w:eastAsia="zh-CN" w:bidi="ar-SA"/>
        </w:rPr>
        <w:t xml:space="preserve">七、政府性基金预算财政拨款收支决算情况说明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_Toc11228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25</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bCs w:val="0"/>
          <w:sz w:val="30"/>
          <w:szCs w:val="30"/>
          <w:highlight w:val="none"/>
          <w:lang w:val="en-US" w:eastAsia="zh-CN" w:bidi="ar-SA"/>
        </w:rPr>
        <w:fldChar w:fldCharType="end"/>
      </w:r>
    </w:p>
    <w:p>
      <w:pPr>
        <w:pStyle w:val="目录1"/>
        <w:tabs>
          <w:tab w:val="clear" w:pos="8296"/>
          <w:tab w:val="right" w:leader="dot" w:pos="8306"/>
        </w:tabs>
        <w:ind w:left="0" w:firstLine="240" w:leftChars="0" w:firstLineChars="80"/>
        <w:rPr>
          <w:rFonts w:ascii="仿宋" w:eastAsia="仿宋" w:hAnsi="仿宋" w:cs="仿宋" w:hint="eastAsia"/>
          <w:bCs w:val="0"/>
          <w:sz w:val="30"/>
          <w:szCs w:val="30"/>
          <w:highlight w:val="none"/>
          <w:lang w:val="en-US" w:eastAsia="zh-CN" w:bidi="ar-SA"/>
        </w:rPr>
      </w:pPr>
      <w:r>
        <w:rPr>
          <w:rFonts w:ascii="仿宋" w:eastAsia="仿宋" w:hAnsi="仿宋" w:cs="仿宋" w:hint="eastAsia"/>
          <w:bCs w:val="0"/>
          <w:sz w:val="30"/>
          <w:szCs w:val="30"/>
          <w:highlight w:val="none"/>
          <w:lang w:val="en-US" w:eastAsia="zh-CN" w:bidi="ar-SA"/>
        </w:rPr>
        <w:fldChar w:fldCharType="begin"/>
      </w:r>
      <w:r>
        <w:rPr>
          <w:rFonts w:ascii="仿宋" w:eastAsia="仿宋" w:hAnsi="仿宋" w:cs="仿宋" w:hint="eastAsia"/>
          <w:bCs w:val="0"/>
          <w:sz w:val="30"/>
          <w:szCs w:val="30"/>
          <w:highlight w:val="none"/>
          <w:lang w:val="en-US" w:eastAsia="zh-CN" w:bidi="ar-SA"/>
        </w:rPr>
        <w:instrText xml:space="preserve"> HYPERLINK   \l " "</w:instrText>
      </w:r>
      <w:r>
        <w:rPr>
          <w:rFonts w:ascii="仿宋" w:eastAsia="仿宋" w:hAnsi="仿宋" w:cs="仿宋" w:hint="eastAsia"/>
          <w:bCs w:val="0"/>
          <w:sz w:val="30"/>
          <w:szCs w:val="30"/>
          <w:highlight w:val="none"/>
          <w:lang w:val="en-US" w:eastAsia="zh-CN" w:bidi="ar-SA"/>
        </w:rPr>
        <w:fldChar w:fldCharType="separate"/>
      </w:r>
      <w:r>
        <w:rPr>
          <w:rFonts w:ascii="仿宋" w:eastAsia="仿宋" w:hAnsi="仿宋" w:cs="仿宋" w:hint="eastAsia"/>
          <w:bCs w:val="0"/>
          <w:sz w:val="30"/>
          <w:szCs w:val="30"/>
          <w:highlight w:val="none"/>
          <w:lang w:val="en-US" w:eastAsia="zh-CN" w:bidi="ar-SA"/>
        </w:rPr>
        <w:t xml:space="preserve">八、国有资本经营预算财政拨款收支决算情况说明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_Toc2429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25</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bCs w:val="0"/>
          <w:sz w:val="30"/>
          <w:szCs w:val="30"/>
          <w:highlight w:val="none"/>
          <w:lang w:val="en-US" w:eastAsia="zh-CN" w:bidi="ar-SA"/>
        </w:rPr>
        <w:fldChar w:fldCharType="end"/>
      </w:r>
    </w:p>
    <w:p>
      <w:pPr>
        <w:pStyle w:val="目录1"/>
        <w:tabs>
          <w:tab w:val="clear" w:pos="8296"/>
          <w:tab w:val="right" w:leader="dot" w:pos="8306"/>
        </w:tabs>
        <w:ind w:left="0" w:firstLine="240" w:leftChars="0" w:firstLineChars="80"/>
        <w:rPr>
          <w:rFonts w:ascii="仿宋" w:eastAsia="仿宋" w:hAnsi="仿宋" w:cs="仿宋" w:hint="eastAsia"/>
          <w:bCs w:val="0"/>
          <w:sz w:val="30"/>
          <w:szCs w:val="30"/>
          <w:highlight w:val="none"/>
          <w:lang w:val="en-US" w:eastAsia="zh-CN" w:bidi="ar-SA"/>
        </w:rPr>
      </w:pPr>
      <w:r>
        <w:rPr>
          <w:rFonts w:ascii="仿宋" w:eastAsia="仿宋" w:hAnsi="仿宋" w:cs="仿宋" w:hint="eastAsia"/>
          <w:bCs w:val="0"/>
          <w:sz w:val="30"/>
          <w:szCs w:val="30"/>
          <w:highlight w:val="none"/>
          <w:lang w:val="en-US" w:eastAsia="zh-CN" w:bidi="ar-SA"/>
        </w:rPr>
        <w:fldChar w:fldCharType="begin"/>
      </w:r>
      <w:r>
        <w:rPr>
          <w:rFonts w:ascii="仿宋" w:eastAsia="仿宋" w:hAnsi="仿宋" w:cs="仿宋" w:hint="eastAsia"/>
          <w:bCs w:val="0"/>
          <w:sz w:val="30"/>
          <w:szCs w:val="30"/>
          <w:highlight w:val="none"/>
          <w:lang w:val="en-US" w:eastAsia="zh-CN" w:bidi="ar-SA"/>
        </w:rPr>
        <w:instrText xml:space="preserve"> HYPERLINK   \l " "</w:instrText>
      </w:r>
      <w:r>
        <w:rPr>
          <w:rFonts w:ascii="仿宋" w:eastAsia="仿宋" w:hAnsi="仿宋" w:cs="仿宋" w:hint="eastAsia"/>
          <w:bCs w:val="0"/>
          <w:sz w:val="30"/>
          <w:szCs w:val="30"/>
          <w:highlight w:val="none"/>
          <w:lang w:val="en-US" w:eastAsia="zh-CN" w:bidi="ar-SA"/>
        </w:rPr>
        <w:fldChar w:fldCharType="separate"/>
      </w:r>
      <w:r>
        <w:rPr>
          <w:rFonts w:ascii="仿宋" w:eastAsia="仿宋" w:hAnsi="仿宋" w:cs="仿宋" w:hint="eastAsia"/>
          <w:bCs w:val="0"/>
          <w:sz w:val="30"/>
          <w:szCs w:val="30"/>
          <w:highlight w:val="none"/>
          <w:lang w:val="en-US" w:eastAsia="zh-CN" w:bidi="ar-SA"/>
        </w:rPr>
        <w:t xml:space="preserve">九、财政拨</w:t>
      </w:r>
      <w:r>
        <w:rPr>
          <w:rFonts w:ascii="仿宋" w:eastAsia="仿宋" w:hAnsi="仿宋" w:cs="仿宋" w:hint="eastAsia"/>
          <w:bCs w:val="0"/>
          <w:sz w:val="30"/>
          <w:szCs w:val="30"/>
          <w:highlight w:val="none"/>
          <w:lang w:val="en-US" w:eastAsia="zh-CN" w:bidi="ar-SA"/>
        </w:rPr>
        <w:t xml:space="preserve">款</w:t>
      </w:r>
      <w:r>
        <w:rPr>
          <w:rFonts w:ascii="仿宋" w:eastAsia="仿宋" w:hAnsi="仿宋" w:cs="仿宋" w:hint="eastAsia"/>
          <w:bCs w:val="0"/>
          <w:sz w:val="30"/>
          <w:szCs w:val="30"/>
          <w:highlight w:val="none"/>
          <w:lang w:val="en-US" w:eastAsia="zh-CN" w:bidi="ar-SA"/>
        </w:rPr>
        <w:t xml:space="preserve">“</w:t>
      </w:r>
      <w:r>
        <w:rPr>
          <w:rFonts w:ascii="仿宋" w:eastAsia="仿宋" w:hAnsi="仿宋" w:cs="仿宋" w:hint="eastAsia"/>
          <w:bCs w:val="0"/>
          <w:sz w:val="30"/>
          <w:szCs w:val="30"/>
          <w:highlight w:val="none"/>
          <w:lang w:val="en-US" w:eastAsia="zh-CN" w:bidi="ar-SA"/>
        </w:rPr>
        <w:t xml:space="preserve">三</w:t>
      </w:r>
      <w:r>
        <w:rPr>
          <w:rFonts w:ascii="仿宋" w:eastAsia="仿宋" w:hAnsi="仿宋" w:cs="仿宋" w:hint="eastAsia"/>
          <w:bCs w:val="0"/>
          <w:sz w:val="30"/>
          <w:szCs w:val="30"/>
          <w:highlight w:val="none"/>
          <w:lang w:val="en-US" w:eastAsia="zh-CN" w:bidi="ar-SA"/>
        </w:rPr>
        <w:t xml:space="preserve">公</w:t>
      </w:r>
      <w:r>
        <w:rPr>
          <w:rFonts w:ascii="仿宋" w:eastAsia="仿宋" w:hAnsi="仿宋" w:cs="仿宋" w:hint="eastAsia"/>
          <w:bCs w:val="0"/>
          <w:sz w:val="30"/>
          <w:szCs w:val="30"/>
          <w:highlight w:val="none"/>
          <w:lang w:val="en-US" w:eastAsia="zh-CN" w:bidi="ar-SA"/>
        </w:rPr>
        <w:t xml:space="preserve">”</w:t>
      </w:r>
      <w:r>
        <w:rPr>
          <w:rFonts w:ascii="仿宋" w:eastAsia="仿宋" w:hAnsi="仿宋" w:cs="仿宋" w:hint="eastAsia"/>
          <w:bCs w:val="0"/>
          <w:sz w:val="30"/>
          <w:szCs w:val="30"/>
          <w:highlight w:val="none"/>
          <w:lang w:val="en-US" w:eastAsia="zh-CN" w:bidi="ar-SA"/>
        </w:rPr>
        <w:t xml:space="preserve">经费支出决算情况说明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_Toc22288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25</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bCs w:val="0"/>
          <w:sz w:val="30"/>
          <w:szCs w:val="30"/>
          <w:highlight w:val="none"/>
          <w:lang w:val="en-US" w:eastAsia="zh-CN" w:bidi="ar-SA"/>
        </w:rPr>
        <w:fldChar w:fldCharType="end"/>
      </w:r>
    </w:p>
    <w:p>
      <w:pPr>
        <w:pStyle w:val="目录1"/>
        <w:tabs>
          <w:tab w:val="clear" w:pos="8296"/>
          <w:tab w:val="right" w:leader="dot" w:pos="8306"/>
        </w:tabs>
        <w:ind w:left="0" w:firstLine="240" w:leftChars="0" w:firstLineChars="80"/>
        <w:rPr>
          <w:rFonts w:ascii="仿宋" w:eastAsia="仿宋" w:hAnsi="仿宋" w:cs="仿宋" w:hint="eastAsia"/>
          <w:bCs w:val="0"/>
          <w:sz w:val="30"/>
          <w:szCs w:val="30"/>
          <w:highlight w:val="none"/>
          <w:lang w:val="en-US" w:eastAsia="zh-CN" w:bidi="ar-SA"/>
        </w:rPr>
      </w:pPr>
      <w:r>
        <w:rPr>
          <w:rFonts w:ascii="仿宋" w:eastAsia="仿宋" w:hAnsi="仿宋" w:cs="仿宋" w:hint="eastAsia"/>
          <w:bCs w:val="0"/>
          <w:sz w:val="30"/>
          <w:szCs w:val="30"/>
          <w:highlight w:val="none"/>
          <w:lang w:val="en-US" w:eastAsia="zh-CN" w:bidi="ar-SA"/>
        </w:rPr>
        <w:fldChar w:fldCharType="begin"/>
      </w:r>
      <w:r>
        <w:rPr>
          <w:rFonts w:ascii="仿宋" w:eastAsia="仿宋" w:hAnsi="仿宋" w:cs="仿宋" w:hint="eastAsia"/>
          <w:bCs w:val="0"/>
          <w:sz w:val="30"/>
          <w:szCs w:val="30"/>
          <w:highlight w:val="none"/>
          <w:lang w:val="en-US" w:eastAsia="zh-CN" w:bidi="ar-SA"/>
        </w:rPr>
        <w:instrText xml:space="preserve"> HYPERLINK   \l " "</w:instrText>
      </w:r>
      <w:r>
        <w:rPr>
          <w:rFonts w:ascii="仿宋" w:eastAsia="仿宋" w:hAnsi="仿宋" w:cs="仿宋" w:hint="eastAsia"/>
          <w:bCs w:val="0"/>
          <w:sz w:val="30"/>
          <w:szCs w:val="30"/>
          <w:highlight w:val="none"/>
          <w:lang w:val="en-US" w:eastAsia="zh-CN" w:bidi="ar-SA"/>
        </w:rPr>
        <w:fldChar w:fldCharType="separate"/>
      </w:r>
      <w:r>
        <w:rPr>
          <w:rFonts w:ascii="仿宋" w:eastAsia="仿宋" w:hAnsi="仿宋" w:cs="仿宋" w:hint="eastAsia"/>
          <w:bCs w:val="0"/>
          <w:sz w:val="30"/>
          <w:szCs w:val="30"/>
          <w:highlight w:val="none"/>
          <w:lang w:val="en-US" w:eastAsia="zh-CN" w:bidi="ar-SA"/>
        </w:rPr>
        <w:t xml:space="preserve">十、机关运行经费支出情况说明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_Toc30303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27</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bCs w:val="0"/>
          <w:sz w:val="30"/>
          <w:szCs w:val="30"/>
          <w:highlight w:val="none"/>
          <w:lang w:val="en-US" w:eastAsia="zh-CN" w:bidi="ar-SA"/>
        </w:rPr>
        <w:fldChar w:fldCharType="end"/>
      </w:r>
    </w:p>
    <w:p>
      <w:pPr>
        <w:pStyle w:val="目录1"/>
        <w:tabs>
          <w:tab w:val="clear" w:pos="8296"/>
          <w:tab w:val="right" w:leader="dot" w:pos="8306"/>
        </w:tabs>
        <w:ind w:left="0" w:firstLine="240" w:leftChars="0" w:firstLineChars="80"/>
        <w:rPr>
          <w:rFonts w:ascii="仿宋" w:eastAsia="仿宋" w:hAnsi="仿宋" w:cs="仿宋" w:hint="eastAsia"/>
          <w:bCs w:val="0"/>
          <w:sz w:val="30"/>
          <w:szCs w:val="30"/>
          <w:highlight w:val="none"/>
          <w:lang w:val="en-US" w:eastAsia="zh-CN" w:bidi="ar-SA"/>
        </w:rPr>
      </w:pPr>
      <w:r>
        <w:rPr>
          <w:rFonts w:ascii="仿宋" w:eastAsia="仿宋" w:hAnsi="仿宋" w:cs="仿宋" w:hint="eastAsia"/>
          <w:bCs w:val="0"/>
          <w:sz w:val="30"/>
          <w:szCs w:val="30"/>
          <w:highlight w:val="none"/>
          <w:lang w:val="en-US" w:eastAsia="zh-CN" w:bidi="ar-SA"/>
        </w:rPr>
        <w:fldChar w:fldCharType="begin"/>
      </w:r>
      <w:r>
        <w:rPr>
          <w:rFonts w:ascii="仿宋" w:eastAsia="仿宋" w:hAnsi="仿宋" w:cs="仿宋" w:hint="eastAsia"/>
          <w:bCs w:val="0"/>
          <w:sz w:val="30"/>
          <w:szCs w:val="30"/>
          <w:highlight w:val="none"/>
          <w:lang w:val="en-US" w:eastAsia="zh-CN" w:bidi="ar-SA"/>
        </w:rPr>
        <w:instrText xml:space="preserve"> HYPERLINK   \l " "</w:instrText>
      </w:r>
      <w:r>
        <w:rPr>
          <w:rFonts w:ascii="仿宋" w:eastAsia="仿宋" w:hAnsi="仿宋" w:cs="仿宋" w:hint="eastAsia"/>
          <w:bCs w:val="0"/>
          <w:sz w:val="30"/>
          <w:szCs w:val="30"/>
          <w:highlight w:val="none"/>
          <w:lang w:val="en-US" w:eastAsia="zh-CN" w:bidi="ar-SA"/>
        </w:rPr>
        <w:fldChar w:fldCharType="separate"/>
      </w:r>
      <w:r>
        <w:rPr>
          <w:rFonts w:ascii="仿宋" w:eastAsia="仿宋" w:hAnsi="仿宋" w:cs="仿宋" w:hint="eastAsia"/>
          <w:bCs w:val="0"/>
          <w:sz w:val="30"/>
          <w:szCs w:val="30"/>
          <w:highlight w:val="none"/>
          <w:lang w:val="en-US" w:eastAsia="zh-CN" w:bidi="ar-SA"/>
        </w:rPr>
        <w:t xml:space="preserve">十一、政府采购支出情况说明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_Toc3597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27</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bCs w:val="0"/>
          <w:sz w:val="30"/>
          <w:szCs w:val="30"/>
          <w:highlight w:val="none"/>
          <w:lang w:val="en-US" w:eastAsia="zh-CN" w:bidi="ar-SA"/>
        </w:rPr>
        <w:fldChar w:fldCharType="end"/>
      </w:r>
    </w:p>
    <w:p>
      <w:pPr>
        <w:pStyle w:val="目录1"/>
        <w:tabs>
          <w:tab w:val="clear" w:pos="8296"/>
          <w:tab w:val="right" w:leader="dot" w:pos="8306"/>
        </w:tabs>
        <w:ind w:left="0" w:firstLine="240" w:leftChars="0" w:firstLineChars="80"/>
        <w:rPr>
          <w:rFonts w:ascii="仿宋" w:eastAsia="仿宋" w:hAnsi="仿宋" w:cs="仿宋" w:hint="eastAsia"/>
          <w:bCs w:val="0"/>
          <w:sz w:val="30"/>
          <w:szCs w:val="30"/>
          <w:highlight w:val="none"/>
          <w:lang w:val="en-US" w:eastAsia="zh-CN" w:bidi="ar-SA"/>
        </w:rPr>
      </w:pPr>
      <w:r>
        <w:rPr>
          <w:rFonts w:ascii="仿宋" w:eastAsia="仿宋" w:hAnsi="仿宋" w:cs="仿宋" w:hint="eastAsia"/>
          <w:bCs w:val="0"/>
          <w:sz w:val="30"/>
          <w:szCs w:val="30"/>
          <w:highlight w:val="none"/>
          <w:lang w:val="en-US" w:eastAsia="zh-CN" w:bidi="ar-SA"/>
        </w:rPr>
        <w:fldChar w:fldCharType="begin"/>
      </w:r>
      <w:r>
        <w:rPr>
          <w:rFonts w:ascii="仿宋" w:eastAsia="仿宋" w:hAnsi="仿宋" w:cs="仿宋" w:hint="eastAsia"/>
          <w:bCs w:val="0"/>
          <w:sz w:val="30"/>
          <w:szCs w:val="30"/>
          <w:highlight w:val="none"/>
          <w:lang w:val="en-US" w:eastAsia="zh-CN" w:bidi="ar-SA"/>
        </w:rPr>
        <w:instrText xml:space="preserve"> HYPERLINK   \l " "</w:instrText>
      </w:r>
      <w:r>
        <w:rPr>
          <w:rFonts w:ascii="仿宋" w:eastAsia="仿宋" w:hAnsi="仿宋" w:cs="仿宋" w:hint="eastAsia"/>
          <w:bCs w:val="0"/>
          <w:sz w:val="30"/>
          <w:szCs w:val="30"/>
          <w:highlight w:val="none"/>
          <w:lang w:val="en-US" w:eastAsia="zh-CN" w:bidi="ar-SA"/>
        </w:rPr>
        <w:fldChar w:fldCharType="separate"/>
      </w:r>
      <w:r>
        <w:rPr>
          <w:rFonts w:ascii="仿宋" w:eastAsia="仿宋" w:hAnsi="仿宋" w:cs="仿宋" w:hint="eastAsia"/>
          <w:bCs w:val="0"/>
          <w:sz w:val="30"/>
          <w:szCs w:val="30"/>
          <w:highlight w:val="none"/>
          <w:lang w:val="en-US" w:eastAsia="zh-CN" w:bidi="ar-SA"/>
        </w:rPr>
        <w:t xml:space="preserve">十二、国有资产占有使用情况说明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_Toc32039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27</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bCs w:val="0"/>
          <w:sz w:val="30"/>
          <w:szCs w:val="30"/>
          <w:highlight w:val="none"/>
          <w:lang w:val="en-US" w:eastAsia="zh-CN" w:bidi="ar-SA"/>
        </w:rPr>
        <w:fldChar w:fldCharType="end"/>
      </w:r>
    </w:p>
    <w:p>
      <w:pPr>
        <w:pStyle w:val="目录1"/>
        <w:tabs>
          <w:tab w:val="clear" w:pos="8296"/>
          <w:tab w:val="right" w:leader="dot" w:pos="8306"/>
        </w:tabs>
        <w:ind w:left="0" w:firstLine="240" w:leftChars="0" w:firstLineChars="80"/>
        <w:rPr>
          <w:rFonts w:ascii="仿宋" w:eastAsia="仿宋" w:hAnsi="仿宋" w:cs="仿宋" w:hint="eastAsia"/>
          <w:bCs w:val="0"/>
          <w:sz w:val="30"/>
          <w:szCs w:val="30"/>
          <w:highlight w:val="none"/>
          <w:lang w:val="en-US" w:eastAsia="zh-CN" w:bidi="ar-SA"/>
        </w:rPr>
      </w:pPr>
      <w:r>
        <w:rPr>
          <w:rFonts w:ascii="仿宋" w:eastAsia="仿宋" w:hAnsi="仿宋" w:cs="仿宋" w:hint="eastAsia"/>
          <w:bCs w:val="0"/>
          <w:sz w:val="30"/>
          <w:szCs w:val="30"/>
          <w:highlight w:val="none"/>
          <w:lang w:val="en-US" w:eastAsia="zh-CN" w:bidi="ar-SA"/>
        </w:rPr>
        <w:fldChar w:fldCharType="begin"/>
      </w:r>
      <w:r>
        <w:rPr>
          <w:rFonts w:ascii="仿宋" w:eastAsia="仿宋" w:hAnsi="仿宋" w:cs="仿宋" w:hint="eastAsia"/>
          <w:bCs w:val="0"/>
          <w:sz w:val="30"/>
          <w:szCs w:val="30"/>
          <w:highlight w:val="none"/>
          <w:lang w:val="en-US" w:eastAsia="zh-CN" w:bidi="ar-SA"/>
        </w:rPr>
        <w:instrText xml:space="preserve"> HYPERLINK   \l " "</w:instrText>
      </w:r>
      <w:r>
        <w:rPr>
          <w:rFonts w:ascii="仿宋" w:eastAsia="仿宋" w:hAnsi="仿宋" w:cs="仿宋" w:hint="eastAsia"/>
          <w:bCs w:val="0"/>
          <w:sz w:val="30"/>
          <w:szCs w:val="30"/>
          <w:highlight w:val="none"/>
          <w:lang w:val="en-US" w:eastAsia="zh-CN" w:bidi="ar-SA"/>
        </w:rPr>
        <w:fldChar w:fldCharType="separate"/>
      </w:r>
      <w:r>
        <w:rPr>
          <w:rFonts w:ascii="仿宋" w:eastAsia="仿宋" w:hAnsi="仿宋" w:cs="仿宋" w:hint="eastAsia"/>
          <w:bCs w:val="0"/>
          <w:sz w:val="30"/>
          <w:szCs w:val="30"/>
          <w:highlight w:val="none"/>
          <w:lang w:val="en-US" w:eastAsia="zh-CN" w:bidi="ar-SA"/>
        </w:rPr>
        <w:t xml:space="preserve">十三、预算绩效情况说明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_Toc2201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28</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bCs w:val="0"/>
          <w:sz w:val="30"/>
          <w:szCs w:val="30"/>
          <w:highlight w:val="none"/>
          <w:lang w:val="en-US" w:eastAsia="zh-CN" w:bidi="ar-SA"/>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仿宋" w:eastAsia="仿宋" w:hAnsi="仿宋" w:cs="仿宋" w:hint="eastAsia"/>
          <w:bCs w:val="0"/>
          <w:sz w:val="30"/>
          <w:szCs w:val="30"/>
          <w:highlight w:val="none"/>
          <w:lang w:val="en-US" w:eastAsia="zh-CN" w:bidi="ar-SA"/>
        </w:rPr>
        <w:fldChar w:fldCharType="begin"/>
      </w:r>
      <w:r>
        <w:rPr>
          <w:rFonts w:ascii="仿宋" w:eastAsia="仿宋" w:hAnsi="仿宋" w:cs="仿宋" w:hint="eastAsia"/>
          <w:bCs w:val="0"/>
          <w:sz w:val="30"/>
          <w:szCs w:val="30"/>
          <w:highlight w:val="none"/>
          <w:lang w:val="en-US" w:eastAsia="zh-CN" w:bidi="ar-SA"/>
        </w:rPr>
        <w:instrText xml:space="preserve"> HYPERLINK   \l " "</w:instrText>
      </w:r>
      <w:r>
        <w:rPr>
          <w:rFonts w:ascii="仿宋" w:eastAsia="仿宋" w:hAnsi="仿宋" w:cs="仿宋" w:hint="eastAsia"/>
          <w:bCs w:val="0"/>
          <w:sz w:val="30"/>
          <w:szCs w:val="30"/>
          <w:highlight w:val="none"/>
          <w:lang w:val="en-US" w:eastAsia="zh-CN" w:bidi="ar-SA"/>
        </w:rPr>
        <w:fldChar w:fldCharType="separate"/>
      </w:r>
      <w:r>
        <w:rPr>
          <w:rFonts w:ascii="仿宋" w:eastAsia="仿宋" w:hAnsi="仿宋" w:cs="仿宋" w:hint="eastAsia"/>
          <w:bCs w:val="0"/>
          <w:sz w:val="30"/>
          <w:szCs w:val="30"/>
          <w:highlight w:val="none"/>
          <w:lang w:val="en-US" w:eastAsia="zh-CN" w:bidi="ar-SA"/>
        </w:rPr>
        <w:t xml:space="preserve">十四、教育、医疗卫生、社会保障和就业、住房保障、涉农补贴等民生支出情况说明</w:t>
      </w:r>
      <w:r>
        <w:rPr>
          <w:rFonts w:ascii="仿宋" w:eastAsia="仿宋" w:hAnsi="仿宋" w:cs="仿宋" w:hint="eastAsia"/>
          <w:bCs w:val="0"/>
          <w:sz w:val="30"/>
          <w:szCs w:val="30"/>
          <w:highlight w:val="none"/>
          <w:lang w:val="en-US" w:eastAsia="zh-CN" w:bidi="ar-SA"/>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_Toc10864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28</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bCs w:val="0"/>
          <w:sz w:val="30"/>
          <w:szCs w:val="30"/>
          <w:highlight w:val="none"/>
          <w:lang w:val="en-US" w:eastAsia="zh-CN" w:bidi="ar-SA"/>
        </w:rPr>
        <w:fldChar w:fldCharType="end"/>
      </w:r>
    </w:p>
    <w:p>
      <w:pPr>
        <w:pStyle w:val="目录1"/>
        <w:tabs>
          <w:tab w:val="clear" w:pos="8296"/>
          <w:tab w:val="right" w:leader="dot" w:pos="8306"/>
        </w:tabs>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第四部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名词解释</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_Toc19733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29</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rPr>
          <w:rFonts w:ascii="Times New Roman" w:eastAsia="方正仿宋_GB2312" w:hAnsi="Times New Roman"/>
          <w:sz w:val="32"/>
          <w:szCs w:val="32"/>
          <w:highlight w:val="none"/>
        </w:rPr>
        <w:sectPr>
          <w:footerReference w:type="default" r:id="rId4"/>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start="1"/>
          <w:textDirection w:val="lrTb"/>
          <w:docGrid w:type="lines" w:linePitch="312"/>
        </w:sectPr>
      </w:pPr>
      <w:r>
        <w:rPr>
          <w:rFonts w:ascii="方正小标宋简体" w:eastAsia="方正小标宋简体" w:hAnsi="方正小标宋简体" w:cs="方正小标宋简体" w:hint="eastAsia"/>
          <w:sz w:val="30"/>
          <w:szCs w:val="30"/>
          <w:highlight w:val="none"/>
          <w:lang w:val="en-US" w:eastAsia="zh-CN"/>
        </w:rPr>
        <w:fldChar w:fldCharType="end"/>
      </w:r>
    </w:p>
    <w:p>
      <w:pPr>
        <w:rPr>
          <w:rFonts w:hint="eastAsia"/>
          <w:highlight w:val="none"/>
        </w:rPr>
      </w:pPr>
    </w:p>
    <w:p>
      <w:pPr>
        <w:pStyle w:val="标题1"/>
        <w:spacing w:before="0" w:after="0" w:line="600" w:lineRule="exact"/>
        <w:jc w:val="center"/>
        <w:rPr>
          <w:rFonts w:ascii="方正小标宋简体" w:eastAsia="方正小标宋简体" w:hAnsi="方正小标宋简体" w:cs="方正小标宋简体" w:hint="eastAsia"/>
          <w:b w:val="0"/>
          <w:sz w:val="48"/>
          <w:szCs w:val="48"/>
          <w:highlight w:val="none"/>
        </w:rPr>
      </w:pPr>
    </w:p>
    <w:p>
      <w:pPr>
        <w:pStyle w:val="标题1"/>
        <w:spacing w:before="0" w:after="0" w:line="600" w:lineRule="exact"/>
        <w:jc w:val="center"/>
        <w:rPr>
          <w:rFonts w:ascii="方正小标宋简体" w:eastAsia="方正小标宋简体" w:hAnsi="方正小标宋简体" w:cs="方正小标宋简体"/>
          <w:b w:val="0"/>
          <w:sz w:val="44"/>
          <w:szCs w:val="44"/>
          <w:highlight w:val="none"/>
        </w:rPr>
      </w:pPr>
      <w:bookmarkStart w:id="0" w:name="_Toc31751"/>
      <w:r>
        <w:rPr>
          <w:rFonts w:ascii="方正小标宋简体" w:eastAsia="方正小标宋简体" w:hAnsi="方正小标宋简体" w:cs="方正小标宋简体" w:hint="eastAsia"/>
          <w:b w:val="0"/>
          <w:lang w:val="en-US" w:eastAsia="zh-CN"/>
        </w:rPr>
        <w:t xml:space="preserve">第一部分  概 况</w:t>
      </w:r>
      <w:bookmarkEnd w:id="0"/>
    </w:p>
    <w:p>
      <w:pPr>
        <w:divId w:val="0"/>
        <w:spacing w:line="600" w:lineRule="exact"/>
        <w:rPr>
          <w:rFonts w:hint="eastAsia"/>
          <w:highlight w:val="none"/>
        </w:rPr>
      </w:pPr>
    </w:p>
    <w:p>
      <w:pPr>
        <w:pStyle w:val="标题2"/>
        <w:wordWrap w:val="0"/>
        <w:spacing w:before="0" w:after="0" w:line="800" w:lineRule="exact"/>
        <w:ind w:firstLine="600" w:firstLineChars="200"/>
        <w:rPr>
          <w:rFonts w:ascii="黑体" w:eastAsia="黑体" w:hAnsi="黑体" w:hint="eastAsia"/>
          <w:b w:val="0"/>
          <w:bCs w:val="0"/>
          <w:sz w:val="30"/>
          <w:szCs w:val="30"/>
          <w:highlight w:val="none"/>
        </w:rPr>
      </w:pPr>
      <w:bookmarkStart w:id="1" w:name="_Toc957"/>
      <w:r>
        <w:rPr>
          <w:rFonts w:ascii="黑体" w:eastAsia="黑体" w:hAnsi="黑体" w:hint="eastAsia"/>
          <w:sz w:val="30"/>
          <w:szCs w:val="30"/>
          <w:lang w:val="en-US" w:eastAsia="zh-CN"/>
        </w:rPr>
        <w:t xml:space="preserve">一、主要职责</w:t>
      </w:r>
      <w:bookmarkEnd w:id="1"/>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中国农工民主党天津市委员会</w:t>
      </w:r>
      <w:r>
        <w:rPr>
          <w:rFonts w:eastAsia="仿宋_GB2312" w:hint="eastAsia"/>
          <w:sz w:val="30"/>
          <w:szCs w:val="30"/>
          <w:highlight w:val="none"/>
          <w:lang w:val="en-US" w:eastAsia="zh-CN"/>
        </w:rPr>
        <w:t xml:space="preserve">的主要职责是</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中国农工民主党是以医药卫生、人口资源和生态环境领域高中级知识分子为主，具有政治联盟特点，接受中国共产党领导、同中国共产党通力合作的亲密友党，是致力于中国特色社会主义事业的参政党。</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中国农工民主党天津市委员会为农工党的省级组织，在中共天津市委和农工党中央领导下，团结带领全市农工党员服务我市经济发展和社会进步。重点发展有一定代表性的人士，着重加强自身建设，不断提高党员思想政治素质，增强参政议政的能力和水平；发挥农工党特点和优势，开展调查研究、积极建言献策，履行参政议政、民主监督职能，参加中共党组织领导的政治协商</w:t>
      </w:r>
      <w:r>
        <w:rPr>
          <w:rFonts w:eastAsia="仿宋_GB2312" w:hint="eastAsia"/>
          <w:sz w:val="30"/>
          <w:szCs w:val="30"/>
          <w:highlight w:val="none"/>
          <w:lang w:val="en-US" w:eastAsia="zh-CN"/>
        </w:rPr>
        <w:t xml:space="preserve">。</w:t>
      </w:r>
    </w:p>
    <w:p>
      <w:pPr>
        <w:pStyle w:val="标题2"/>
        <w:spacing w:before="0" w:after="0" w:line="600" w:lineRule="exact"/>
        <w:ind w:firstLine="600" w:firstLineChars="200"/>
        <w:rPr>
          <w:rFonts w:ascii="黑体" w:eastAsia="黑体" w:hAnsi="黑体" w:hint="eastAsia"/>
          <w:b w:val="0"/>
          <w:bCs w:val="0"/>
          <w:sz w:val="30"/>
          <w:szCs w:val="30"/>
          <w:highlight w:val="none"/>
        </w:rPr>
      </w:pPr>
      <w:bookmarkStart w:id="2" w:name="_Toc9641"/>
      <w:r>
        <w:rPr>
          <w:rFonts w:ascii="黑体" w:eastAsia="黑体" w:hAnsi="黑体" w:hint="eastAsia"/>
          <w:sz w:val="30"/>
          <w:szCs w:val="30"/>
          <w:lang w:val="en-US" w:eastAsia="zh-CN"/>
        </w:rPr>
        <w:t xml:space="preserve">二、机构设置</w:t>
      </w:r>
      <w:bookmarkEnd w:id="2"/>
    </w:p>
    <w:p>
      <w:pPr>
        <w:divId w:val="0"/>
        <w:spacing w:line="600" w:lineRule="exact"/>
        <w:ind w:firstLine="600"/>
        <w:rPr>
          <w:rFonts w:eastAsia="方正仿宋_GB2312" w:hint="eastAsia"/>
          <w:sz w:val="30"/>
          <w:szCs w:val="30"/>
          <w:highlight w:val="none"/>
          <w:lang w:val="en-US" w:eastAsia="zh-CN"/>
        </w:rPr>
      </w:pPr>
      <w:r>
        <w:rPr>
          <w:rFonts w:eastAsia="仿宋_GB2312" w:hint="eastAsia"/>
          <w:sz w:val="30"/>
          <w:szCs w:val="30"/>
          <w:highlight w:val="none"/>
          <w:lang w:val="en-US" w:eastAsia="zh-CN"/>
        </w:rPr>
        <w:t xml:space="preserve">纳</w:t>
      </w:r>
      <w:r>
        <w:rPr>
          <w:rFonts w:eastAsia="仿宋_GB2312" w:hint="eastAsia"/>
          <w:sz w:val="30"/>
          <w:szCs w:val="30"/>
          <w:highlight w:val="none"/>
          <w:lang w:val="en-US" w:eastAsia="zh-CN"/>
        </w:rPr>
        <w:t xml:space="preserve">入</w:t>
      </w:r>
      <w:r>
        <w:rPr>
          <w:rFonts w:eastAsia="仿宋_GB2312" w:hint="eastAsia"/>
          <w:sz w:val="30"/>
          <w:szCs w:val="30"/>
          <w:highlight w:val="none"/>
          <w:lang w:val="en-US" w:eastAsia="zh-CN"/>
        </w:rPr>
        <w:t xml:space="preserve">中国农工民主党天津市委员会</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年度部门决算编制范围的单位包括</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部门本级（内设6个职能处室）。</w:t>
      </w:r>
    </w:p>
    <w:p>
      <w:pPr>
        <w:divId w:val="0"/>
        <w:spacing w:line="600" w:lineRule="exact"/>
        <w:rPr>
          <w:rFonts w:eastAsia="方正楷体_GB2312" w:hint="eastAsia"/>
          <w:b/>
          <w:sz w:val="30"/>
          <w:szCs w:val="30"/>
          <w:highlight w:val="none"/>
        </w:rPr>
      </w:pPr>
      <w:r>
        <w:rPr>
          <w:rFonts w:eastAsia="方正楷体_GB2312"/>
          <w:b/>
          <w:sz w:val="30"/>
          <w:szCs w:val="30"/>
          <w:highlight w:val="none"/>
        </w:rPr>
        <w:br w:type="page"/>
      </w: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bookmarkStart w:id="3" w:name="_Toc22959"/>
      <w:r>
        <w:rPr>
          <w:rFonts w:ascii="方正小标宋简体" w:eastAsia="方正小标宋简体" w:hAnsi="方正小标宋简体" w:cs="方正小标宋简体" w:hint="eastAsia"/>
          <w:b w:val="0"/>
          <w:bCs w:val="0"/>
          <w:lang w:val="en-US" w:eastAsia="zh-CN"/>
        </w:rPr>
        <w:t xml:space="preserve">第二部分  2025年度部门决算表</w:t>
      </w:r>
      <w:bookmarkEnd w:id="3"/>
    </w:p>
    <w:p>
      <w:pPr>
        <w:pStyle w:val="标题1"/>
        <w:wordWrap w:val="0"/>
        <w:spacing w:before="0" w:after="0" w:line="600" w:lineRule="exact"/>
        <w:jc w:val="left"/>
        <w:rPr>
          <w:rFonts w:ascii="黑体" w:eastAsia="黑体" w:hAnsi="黑体" w:hint="eastAsia"/>
          <w:sz w:val="30"/>
          <w:szCs w:val="30"/>
          <w:lang w:val="en-US" w:eastAsia="zh-CN"/>
        </w:rPr>
      </w:pPr>
      <w:r>
        <w:rPr>
          <w:rFonts w:ascii="方正小标宋简体" w:eastAsia="方正小标宋简体" w:hAnsi="方正小标宋简体" w:cs="方正小标宋简体" w:hint="eastAsia"/>
          <w:b w:val="0"/>
          <w:bCs w:val="0"/>
          <w:lang w:val="en-US" w:eastAsia="zh-CN"/>
        </w:rPr>
        <w:br w:type="page"/>
      </w:r>
      <w:bookmarkStart w:id="4" w:name="_Toc24940"/>
      <w:r>
        <w:rPr>
          <w:rFonts w:ascii="黑体" w:eastAsia="黑体" w:hAnsi="黑体" w:hint="eastAsia"/>
          <w:sz w:val="30"/>
          <w:szCs w:val="30"/>
          <w:lang w:val="en-US" w:eastAsia="zh-CN"/>
        </w:rPr>
        <w:t xml:space="preserve">一、《收入支出决算总表》</w:t>
      </w:r>
      <w:bookmarkEnd w:id="4"/>
    </w:p>
    <w:tbl>
      <w:tblPr>
        <w:tblStyle w:val="普通表格"/>
        <w:tblW w:w="979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3351"/>
        <w:gridCol w:w="1632"/>
        <w:gridCol w:w="3180"/>
        <w:gridCol w:w="1632"/>
      </w:tblGrid>
      <w:tr>
        <w:tblPrEx>
          <w:tblW w:w="979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exact" w:val="397"/>
          <w:jc w:val="center"/>
        </w:trPr>
        <w:tc>
          <w:tcPr>
            <w:tcW w:w="1701" w:type="dxa"/>
            <w:gridSpan w:val="2"/>
            <w:tcBorders>
              <w:top w:val="nil"/>
              <w:left w:val="nil"/>
              <w:bottom w:val="single" w:sz="4" w:space="0" w:color="000000"/>
              <w:right w:val="nil"/>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hAnsi="宋体" w:cs="宋体" w:hint="eastAsia"/>
                <w:i w:val="0"/>
                <w:iCs w:val="0"/>
                <w:color w:val="000000"/>
                <w:kern w:val="0.0"/>
                <w:sz w:val="20"/>
                <w:szCs w:val="20"/>
                <w:u w:val="none"/>
                <w:lang w:val="en-US" w:eastAsia="zh-CN"/>
              </w:rPr>
              <w:t xml:space="preserve">部门</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中国农工民主党天津市委员会</w:t>
            </w:r>
          </w:p>
        </w:tc>
        <w:tc>
          <w:tcPr>
            <w:tcW w:w="1701" w:type="dxa"/>
            <w:gridSpan w:val="2"/>
            <w:tcBorders>
              <w:top w:val="nil"/>
              <w:left w:val="nil"/>
              <w:bottom w:val="single" w:sz="4" w:space="0" w:color="000000"/>
              <w:right w:val="nil"/>
            </w:tcBorders>
            <w:shd w:val="clear" w:color="000000" w:fill="FFFFFF"/>
            <w:noWrap w:val="1"/>
            <w:vAlign w:val="center"/>
          </w:tcPr>
          <w:p>
            <w:pPr>
              <w:divId w:val="0"/>
              <w:spacing w:line="240" w:lineRule="auto"/>
              <w:ind w:left="0" w:right="0" w:firstLine="0" w:leftChars="0" w:rightChars="0" w:firstLineChars="0"/>
              <w:jc w:val="righ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9795" w:type="dxa"/>
          <w:jc w:val="center"/>
          <w:tblLayout w:type="fixed"/>
          <w:tblCellMar>
            <w:top w:w="0" w:type="dxa"/>
            <w:left w:w="108" w:type="dxa"/>
            <w:bottom w:w="0" w:type="dxa"/>
            <w:right w:w="108" w:type="dxa"/>
          </w:tblCellMar>
          <w:tblLook w:val="0000"/>
        </w:tblPrEx>
        <w:trPr>
          <w:trHeight w:hRule="exact" w:val="397"/>
          <w:jc w:val="center"/>
        </w:trPr>
        <w:tc>
          <w:tcPr>
            <w:tcW w:w="1701" w:type="dxa"/>
            <w:gridSpan w:val="2"/>
            <w:tcBorders>
              <w:top w:val="single" w:sz="4" w:space="0" w:color="000000"/>
              <w:left w:val="single" w:sz="4" w:space="0" w:color="000000"/>
              <w:bottom w:val="single" w:sz="4" w:space="0" w:color="000000"/>
              <w:right w:val="nil"/>
            </w:tcBorders>
            <w:shd w:val="clear" w:color="000000" w:fill="FFFFFF"/>
            <w:noWrap w:val="1"/>
            <w:vAlign w:val="center"/>
          </w:tcPr>
          <w:p>
            <w:pPr>
              <w:divId w:val="0"/>
              <w:spacing w:line="240" w:lineRule="auto"/>
              <w:ind w:left="0" w:right="0" w:firstLine="0" w:leftChars="0" w:rightChars="0" w:firstLineChars="0"/>
              <w:jc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收入</w:t>
            </w:r>
          </w:p>
        </w:tc>
        <w:tc>
          <w:tcPr>
            <w:tcW w:w="1701" w:type="dxa"/>
            <w:gridSpan w:val="2"/>
            <w:tcBorders>
              <w:top w:val="single" w:sz="4" w:space="0" w:color="000000"/>
              <w:left w:val="nil"/>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w:t>
            </w:r>
          </w:p>
        </w:tc>
      </w:tr>
      <w:tr>
        <w:tblPrEx>
          <w:tblW w:w="9795" w:type="dxa"/>
          <w:jc w:val="center"/>
          <w:tblLayout w:type="fixed"/>
          <w:tblCellMar>
            <w:top w:w="0" w:type="dxa"/>
            <w:left w:w="108" w:type="dxa"/>
            <w:bottom w:w="0" w:type="dxa"/>
            <w:right w:w="108" w:type="dxa"/>
          </w:tblCellMar>
          <w:tblLook w:val="0000"/>
        </w:tblPrEx>
        <w:trPr>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一、一般公共预算财政拨款收入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tabs>
                <w:tab w:val="left" w:pos="1920"/>
              </w:tabs>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11965619.18</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一、一般公共服务支出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10432880.14</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二、政府性基金预算财政拨款收入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二、公共安全支出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三、国有资本经营预算财政拨款收入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三、教育支出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68"/>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四、财政专户管理资金</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四、科学技术支出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五、事业收入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五、文化旅游体育与传媒支出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六、事业单位经营收入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六、社会保障和就业支出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1007363.76</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七、上级补助收入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七、卫生健康支出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525501.14</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八、附属单位上缴收入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八、节能环保支出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九、其他收入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20000.00</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九、城乡社区支出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十、农林水支出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十一、交通运输支出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十二、资源勘探工业信息等支出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十三、商业服务业等支出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十四、金融支出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十五、援助其他地区支出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十六、自然资源海洋气象等支出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十七、住房保障支出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十八、粮油物资储备支出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十九、国有资本经营预算支出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二十、灾害防治及应急管理支出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hAnsi="Times New Roman" w:cs="Times New Roman" w:hint="default"/>
                <w:i w:val="0"/>
                <w:iCs w:val="0"/>
                <w:color w:val="000000"/>
                <w:kern w:val="0.0"/>
                <w:sz w:val="20"/>
                <w:szCs w:val="20"/>
                <w:u w:val="none"/>
                <w:lang w:val="en-US" w:eastAsia="zh-CN"/>
              </w:rPr>
              <w:t xml:space="preserve">  </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二十一、其他支出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20000.00</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二十二、债务付息支出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二十三、抗疫特别国债安排的支出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本年收入合计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11985619.18</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本年支出合计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11985745.04</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w w:val="90"/>
                <w:kern w:val="0.0"/>
                <w:sz w:val="20"/>
                <w:szCs w:val="20"/>
                <w:u w:val="none"/>
                <w:lang w:val="en-US" w:eastAsia="zh-CN"/>
              </w:rPr>
              <w:t xml:space="preserve">十、使用非财政拨款结余</w:t>
            </w:r>
            <w:r>
              <w:rPr>
                <w:rFonts w:ascii="宋体" w:hAnsi="宋体" w:cs="宋体" w:hint="eastAsia"/>
                <w:i w:val="0"/>
                <w:iCs w:val="0"/>
                <w:color w:val="000000"/>
                <w:w w:val="90"/>
                <w:kern w:val="0.0"/>
                <w:sz w:val="20"/>
                <w:szCs w:val="20"/>
                <w:u w:val="none"/>
                <w:lang w:val="en-US" w:eastAsia="zh-CN"/>
              </w:rPr>
              <w:t xml:space="preserve">（含专用结余）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二十四、结余分配</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十一、年初结转和结余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4572.60</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二十五、年末结转和结余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4446.74</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其中：财政拨款结转和结余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4572.60</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right"/>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600" w:leftChars="0" w:rightChars="0" w:firstLineChars="30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其他结转和结余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right"/>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收入总计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11990191.78</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支出总计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11990191.78</w:t>
            </w:r>
          </w:p>
        </w:tc>
      </w:tr>
      <w:tr>
        <w:tblPrEx>
          <w:tblW w:w="9795" w:type="dxa"/>
          <w:jc w:val="center"/>
          <w:tblLayout w:type="fixed"/>
          <w:tblCellMar>
            <w:top w:w="0" w:type="dxa"/>
            <w:left w:w="108" w:type="dxa"/>
            <w:bottom w:w="0" w:type="dxa"/>
            <w:right w:w="108" w:type="dxa"/>
          </w:tblCellMar>
          <w:tblLook w:val="0000"/>
        </w:tblPrEx>
        <w:trPr>
          <w:trHeight w:val="315"/>
          <w:jc w:val="center"/>
        </w:trPr>
        <w:tc>
          <w:tcPr>
            <w:tcW w:w="1701" w:type="dxa"/>
            <w:gridSpan w:val="4"/>
            <w:tcBorders>
              <w:top w:val="nil"/>
              <w:left w:val="nil"/>
              <w:bottom w:val="nil"/>
              <w:right w:val="nil"/>
            </w:tcBorders>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注：本表反映本年度的总收支和年末结转结余情况。财政专户管理资金是指教育收费；事业收入不含教育收费。</w:t>
            </w:r>
          </w:p>
        </w:tc>
      </w:tr>
    </w:tbl>
    <w:p>
      <w:pPr>
        <w:divId w:val="0"/>
        <w:ind w:left="-480" w:firstLine="0" w:leftChars="-200" w:firstLineChars="0"/>
        <w:rPr>
          <w:rFonts w:hint="eastAsia"/>
          <w:lang w:val="en-US" w:eastAsia="zh-CN"/>
        </w:rPr>
        <w:sectPr>
          <w:footerReference w:type="default" r:id="rId5"/>
          <w:type w:val="nextPage"/>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start="1"/>
          <w:textDirection w:val="lrTb"/>
          <w:docGrid w:type="lines" w:linePitch="312" w:charSpace="0"/>
        </w:sectPr>
      </w:pPr>
    </w:p>
    <w:p>
      <w:pPr>
        <w:pStyle w:val="标题2"/>
        <w:wordWrap w:val="0"/>
        <w:spacing w:before="0" w:after="0" w:line="800" w:lineRule="exact"/>
        <w:ind w:firstLine="600" w:firstLineChars="200"/>
        <w:rPr>
          <w:rFonts w:ascii="黑体" w:eastAsia="黑体" w:hAnsi="黑体" w:hint="eastAsia"/>
          <w:sz w:val="30"/>
          <w:szCs w:val="30"/>
          <w:lang w:val="en-US" w:eastAsia="zh-CN"/>
        </w:rPr>
      </w:pPr>
      <w:bookmarkStart w:id="5" w:name="_Toc19253"/>
      <w:r>
        <w:rPr>
          <w:rFonts w:ascii="黑体" w:eastAsia="黑体" w:hAnsi="黑体" w:hint="eastAsia"/>
          <w:sz w:val="30"/>
          <w:szCs w:val="30"/>
          <w:lang w:val="en-US" w:eastAsia="zh-CN"/>
        </w:rPr>
        <w:t xml:space="preserve">二、《收入决算表（按功能分类列示）》</w:t>
      </w:r>
      <w:bookmarkEnd w:id="5"/>
    </w:p>
    <w:tbl>
      <w:tblPr>
        <w:tblStyle w:val="普通表格"/>
        <w:tblW w:w="162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023"/>
        <w:gridCol w:w="2184"/>
        <w:gridCol w:w="1824"/>
        <w:gridCol w:w="1737"/>
        <w:gridCol w:w="1503"/>
        <w:gridCol w:w="1680"/>
        <w:gridCol w:w="1656"/>
        <w:gridCol w:w="1572"/>
        <w:gridCol w:w="1524"/>
        <w:gridCol w:w="1587"/>
      </w:tblGrid>
      <w:tr>
        <w:tblPrEx>
          <w:tblW w:w="162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tblHeader/>
          <w:jc w:val="center"/>
        </w:trPr>
        <w:tc>
          <w:tcPr>
            <w:tcW w:w="9951" w:type="dxa"/>
            <w:gridSpan w:val="6"/>
            <w:tcBorders>
              <w:top w:val="nil"/>
              <w:left w:val="nil"/>
              <w:bottom w:val="single" w:sz="4" w:space="0" w:color="auto"/>
              <w:right w:val="nil"/>
            </w:tcBorders>
            <w:shd w:val="clear" w:color="auto" w:fill="FFFFFF"/>
            <w:noWrap w:val="1"/>
            <w:vAlign w:val="center"/>
          </w:tcPr>
          <w:p>
            <w:pPr>
              <w:divId w:val="0"/>
              <w:snapToGrid w:val="0"/>
              <w:jc w:val="left"/>
              <w:rPr>
                <w:rFonts w:ascii="宋体" w:eastAsia="宋体" w:hAnsi="宋体" w:cs="宋体" w:hint="eastAsia"/>
                <w:i w:val="0"/>
                <w:iCs w:val="0"/>
                <w:color w:val="000000"/>
                <w:sz w:val="24"/>
                <w:szCs w:val="24"/>
                <w:u w:val="none"/>
              </w:rPr>
            </w:pPr>
            <w:r>
              <w:rPr>
                <w:rFonts w:ascii="宋体" w:hAnsi="宋体" w:cs="宋体" w:hint="eastAsia"/>
                <w:i w:val="0"/>
                <w:iCs w:val="0"/>
                <w:color w:val="000000"/>
                <w:kern w:val="0.0"/>
                <w:sz w:val="20"/>
                <w:szCs w:val="20"/>
                <w:u w:val="none"/>
                <w:lang w:val="en-US" w:eastAsia="zh-CN"/>
              </w:rPr>
              <w:t xml:space="preserve">部门</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中国农工民主党天津市委员会</w:t>
            </w:r>
          </w:p>
        </w:tc>
        <w:tc>
          <w:tcPr>
            <w:tcW w:w="1656" w:type="dxa"/>
            <w:tcBorders>
              <w:top w:val="nil"/>
              <w:left w:val="nil"/>
              <w:bottom w:val="single" w:sz="4" w:space="0" w:color="auto"/>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4"/>
                <w:szCs w:val="24"/>
                <w:u w:val="none"/>
              </w:rPr>
            </w:pPr>
          </w:p>
        </w:tc>
        <w:tc>
          <w:tcPr>
            <w:tcW w:w="1572" w:type="dxa"/>
            <w:tcBorders>
              <w:top w:val="nil"/>
              <w:left w:val="nil"/>
              <w:bottom w:val="single" w:sz="4" w:space="0" w:color="auto"/>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4"/>
                <w:szCs w:val="24"/>
                <w:u w:val="none"/>
              </w:rPr>
            </w:pPr>
          </w:p>
        </w:tc>
        <w:tc>
          <w:tcPr>
            <w:tcW w:w="3111" w:type="dxa"/>
            <w:gridSpan w:val="2"/>
            <w:tcBorders>
              <w:top w:val="nil"/>
              <w:left w:val="nil"/>
              <w:bottom w:val="single" w:sz="4" w:space="0" w:color="auto"/>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2"/>
                <w:szCs w:val="22"/>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3207" w:type="dxa"/>
            <w:gridSpan w:val="2"/>
            <w:tcBorders>
              <w:top w:val="single" w:sz="4" w:space="0" w:color="auto"/>
              <w:left w:val="single" w:sz="4" w:space="0" w:color="auto"/>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1824"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本年收入合计</w:t>
            </w:r>
          </w:p>
        </w:tc>
        <w:tc>
          <w:tcPr>
            <w:tcW w:w="1737"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财政拨款收入</w:t>
            </w:r>
          </w:p>
        </w:tc>
        <w:tc>
          <w:tcPr>
            <w:tcW w:w="1503"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上级补助收入</w:t>
            </w:r>
          </w:p>
        </w:tc>
        <w:tc>
          <w:tcPr>
            <w:tcW w:w="3336" w:type="dxa"/>
            <w:gridSpan w:val="2"/>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事业收入</w:t>
            </w:r>
          </w:p>
        </w:tc>
        <w:tc>
          <w:tcPr>
            <w:tcW w:w="1572"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经营收入</w:t>
            </w:r>
          </w:p>
        </w:tc>
        <w:tc>
          <w:tcPr>
            <w:tcW w:w="1524"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附属单位上缴收入</w:t>
            </w:r>
          </w:p>
        </w:tc>
        <w:tc>
          <w:tcPr>
            <w:tcW w:w="1587" w:type="dxa"/>
            <w:vMerge w:val="restart"/>
            <w:tcBorders>
              <w:top w:val="single" w:sz="4" w:space="0" w:color="auto"/>
              <w:left w:val="single" w:sz="4" w:space="0" w:color="000000"/>
              <w:bottom w:val="single" w:sz="4" w:space="0" w:color="000000"/>
              <w:right w:val="single" w:sz="4" w:space="0" w:color="auto"/>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其他收入</w:t>
            </w: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1023" w:type="dxa"/>
            <w:vMerge w:val="restart"/>
            <w:tcBorders>
              <w:top w:val="single" w:sz="4" w:space="0" w:color="000000"/>
              <w:left w:val="single" w:sz="4" w:space="0" w:color="auto"/>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18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8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7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snapToGrid w:val="0"/>
              <w:jc w:val="center"/>
              <w:rPr>
                <w:rFonts w:ascii="宋体" w:eastAsia="宋体" w:hAnsi="宋体" w:cs="宋体" w:hint="eastAsia"/>
                <w:i w:val="0"/>
                <w:iCs w:val="0"/>
                <w:color w:val="000000"/>
                <w:sz w:val="20"/>
                <w:szCs w:val="20"/>
                <w:u w:val="none"/>
              </w:rPr>
            </w:pPr>
          </w:p>
        </w:tc>
        <w:tc>
          <w:tcPr>
            <w:tcW w:w="15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68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小计</w:t>
            </w:r>
          </w:p>
        </w:tc>
        <w:tc>
          <w:tcPr>
            <w:tcW w:w="165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其中：教育收费</w:t>
            </w:r>
          </w:p>
        </w:tc>
        <w:tc>
          <w:tcPr>
            <w:tcW w:w="157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87" w:type="dxa"/>
            <w:vMerge/>
            <w:tcBorders>
              <w:top w:val="single" w:sz="4" w:space="0" w:color="000000"/>
              <w:left w:val="single" w:sz="4" w:space="0" w:color="000000"/>
              <w:bottom w:val="single" w:sz="4" w:space="0" w:color="000000"/>
              <w:right w:val="single" w:sz="4" w:space="0" w:color="auto"/>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1023" w:type="dxa"/>
            <w:vMerge/>
            <w:tcBorders>
              <w:top w:val="single" w:sz="4" w:space="0" w:color="000000"/>
              <w:left w:val="single" w:sz="4" w:space="0" w:color="auto"/>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18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8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7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snapToGrid w:val="0"/>
              <w:jc w:val="center"/>
              <w:rPr>
                <w:rFonts w:ascii="宋体" w:eastAsia="宋体" w:hAnsi="宋体" w:cs="宋体" w:hint="eastAsia"/>
                <w:i w:val="0"/>
                <w:iCs w:val="0"/>
                <w:color w:val="000000"/>
                <w:sz w:val="20"/>
                <w:szCs w:val="20"/>
                <w:u w:val="none"/>
              </w:rPr>
            </w:pPr>
          </w:p>
        </w:tc>
        <w:tc>
          <w:tcPr>
            <w:tcW w:w="15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68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65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7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87" w:type="dxa"/>
            <w:vMerge/>
            <w:tcBorders>
              <w:top w:val="single" w:sz="4" w:space="0" w:color="000000"/>
              <w:left w:val="single" w:sz="4" w:space="0" w:color="000000"/>
              <w:bottom w:val="single" w:sz="4" w:space="0" w:color="000000"/>
              <w:right w:val="single" w:sz="4" w:space="0" w:color="auto"/>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3207" w:type="dxa"/>
            <w:gridSpan w:val="2"/>
            <w:tcBorders>
              <w:top w:val="single" w:sz="4" w:space="0" w:color="000000"/>
              <w:left w:val="single" w:sz="4" w:space="0" w:color="auto"/>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8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11985619.18</w:t>
            </w:r>
          </w:p>
        </w:tc>
        <w:tc>
          <w:tcPr>
            <w:tcW w:w="173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11965619.18</w:t>
            </w:r>
          </w:p>
        </w:tc>
        <w:tc>
          <w:tcPr>
            <w:tcW w:w="150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000000"/>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20000.00</w:t>
            </w: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201</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一般公共服务支出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10435826.86</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10435826.86</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20128</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民主党派及工商联事务</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10435826.86</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10435826.86</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2012801</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行政运行</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8988558.16</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8988558.16</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2012802</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一般行政管理事务</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50000.00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50000.00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2012804</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参政议政</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729156.70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729156.70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2012899</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其他民主党派及工商联事务支出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668112.00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668112.00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社会保障和就业支出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1005194.88</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1005194.88</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20805</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行政事业单位养老支出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1005194.88</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1005194.88</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2080505</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机关事业单位基本养老保险缴费支出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670129.92</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670129.92</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2080506</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机关事业单位职业年金缴费支出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335064.96</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335064.96</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卫生健康支出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524597.44</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524597.44</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21011</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行政事业单位医疗</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524597.44</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524597.44</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2101101</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行政单位医疗</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441331.20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441331.20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2101103</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公务员医疗补助</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83266.24</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83266.24</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229</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20000.00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20000.00</w:t>
            </w: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22999</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20000.00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20000.00</w:t>
            </w: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2299999</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20000.00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20000.00</w:t>
            </w:r>
          </w:p>
        </w:tc>
      </w:tr>
      <w:tr>
        <w:tblPrEx>
          <w:tblW w:w="16290" w:type="dxa"/>
          <w:jc w:val="center"/>
          <w:tblLayout w:type="fixed"/>
          <w:tblCellMar>
            <w:top w:w="0" w:type="dxa"/>
            <w:left w:w="108" w:type="dxa"/>
            <w:bottom w:w="0" w:type="dxa"/>
            <w:right w:w="108" w:type="dxa"/>
          </w:tblCellMar>
          <w:tblLook w:val="0000"/>
        </w:tblPrEx>
        <w:trPr>
          <w:trHeight w:hRule="auto" w:val="0"/>
          <w:jc w:val="center"/>
        </w:trPr>
        <w:tc>
          <w:tcPr>
            <w:tcW w:w="16290" w:type="dxa"/>
            <w:gridSpan w:val="10"/>
            <w:tcBorders>
              <w:top w:val="single" w:sz="4" w:space="0" w:color="auto"/>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注：本表反映本年度取得的各项收入情况。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6" w:name="_Toc1420"/>
      <w:r>
        <w:rPr>
          <w:rFonts w:ascii="黑体" w:eastAsia="黑体" w:hAnsi="黑体" w:hint="eastAsia"/>
          <w:b/>
          <w:bCs/>
          <w:sz w:val="30"/>
          <w:szCs w:val="30"/>
          <w:lang w:val="en-US" w:eastAsia="zh-CN"/>
        </w:rPr>
        <w:t xml:space="preserve">三、《收入决算表（按单位列示）》</w:t>
      </w:r>
      <w:bookmarkEnd w:id="6"/>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733"/>
        <w:gridCol w:w="1405"/>
        <w:gridCol w:w="1344"/>
        <w:gridCol w:w="1153"/>
        <w:gridCol w:w="1285"/>
        <w:gridCol w:w="1285"/>
        <w:gridCol w:w="1285"/>
        <w:gridCol w:w="1285"/>
        <w:gridCol w:w="1285"/>
        <w:gridCol w:w="1285"/>
        <w:gridCol w:w="1285"/>
        <w:gridCol w:w="1329"/>
        <w:gridCol w:w="1329"/>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val="300"/>
          <w:jc w:val="center"/>
        </w:trPr>
        <w:tc>
          <w:tcPr>
            <w:tcW w:w="9775" w:type="dxa"/>
            <w:gridSpan w:val="8"/>
            <w:tcBorders>
              <w:top w:val="nil"/>
              <w:left w:val="nil"/>
              <w:bottom w:val="single" w:sz="4" w:space="0" w:color="000000"/>
              <w:right w:val="nil"/>
            </w:tcBorders>
            <w:noWrap w:val="1"/>
            <w:vAlign w:val="center"/>
          </w:tcPr>
          <w:p>
            <w:pPr>
              <w:divId w:val="0"/>
              <w:keepNext w:val="0"/>
              <w:keepLines w:val="0"/>
              <w:widowControl/>
              <w:suppressLineNumbers w:val="0"/>
              <w:jc w:val="left"/>
              <w:textAlignment w:val="center"/>
              <w:rPr>
                <w:rFonts w:ascii="宋体" w:eastAsia="宋体" w:hAnsi="宋体" w:cs="宋体" w:hint="eastAsia"/>
                <w:i w:val="0"/>
                <w:iCs w:val="0"/>
                <w:color w:val="000000"/>
                <w:sz w:val="16"/>
                <w:szCs w:val="16"/>
                <w:u w:val="none"/>
              </w:rPr>
            </w:pPr>
            <w:r>
              <w:rPr>
                <w:rFonts w:ascii="宋体" w:hAnsi="宋体" w:cs="宋体" w:hint="eastAsia"/>
                <w:i w:val="0"/>
                <w:iCs w:val="0"/>
                <w:color w:val="000000"/>
                <w:kern w:val="0.0"/>
                <w:sz w:val="16"/>
                <w:szCs w:val="16"/>
                <w:u w:val="none"/>
                <w:lang w:val="en-US" w:eastAsia="zh-CN"/>
              </w:rPr>
              <w:t xml:space="preserve">部门</w:t>
            </w:r>
            <w:r>
              <w:rPr>
                <w:rFonts w:ascii="宋体" w:eastAsia="宋体" w:hAnsi="宋体" w:cs="宋体" w:hint="eastAsia"/>
                <w:i w:val="0"/>
                <w:iCs w:val="0"/>
                <w:color w:val="000000"/>
                <w:kern w:val="0.0"/>
                <w:sz w:val="16"/>
                <w:szCs w:val="16"/>
                <w:u w:val="none"/>
                <w:lang w:val="en-US" w:eastAsia="zh-CN"/>
              </w:rPr>
              <w:t xml:space="preserve">：</w:t>
            </w:r>
            <w:r>
              <w:rPr>
                <w:rFonts w:ascii="宋体" w:eastAsia="宋体" w:hAnsi="宋体" w:cs="宋体" w:hint="eastAsia"/>
                <w:i w:val="0"/>
                <w:iCs w:val="0"/>
                <w:color w:val="000000"/>
                <w:kern w:val="0.0"/>
                <w:sz w:val="16"/>
                <w:szCs w:val="16"/>
                <w:u w:val="none"/>
                <w:lang w:val="en-US" w:eastAsia="zh-CN"/>
              </w:rPr>
              <w:t xml:space="preserve">中国农工民主党天津市委员会</w:t>
            </w:r>
          </w:p>
        </w:tc>
        <w:tc>
          <w:tcPr>
            <w:tcW w:w="1285" w:type="dxa"/>
            <w:tcBorders>
              <w:top w:val="nil"/>
              <w:left w:val="nil"/>
              <w:bottom w:val="single" w:sz="4" w:space="0" w:color="000000"/>
              <w:right w:val="nil"/>
            </w:tcBorders>
            <w:noWrap w:val="1"/>
            <w:vAlign w:val="center"/>
          </w:tcPr>
          <w:p>
            <w:pPr>
              <w:divId w:val="0"/>
              <w:jc w:val="center"/>
              <w:rPr>
                <w:rFonts w:ascii="宋体" w:eastAsia="宋体" w:hAnsi="宋体" w:cs="宋体" w:hint="eastAsia"/>
                <w:i w:val="0"/>
                <w:iCs w:val="0"/>
                <w:color w:val="000000"/>
                <w:sz w:val="16"/>
                <w:szCs w:val="16"/>
                <w:u w:val="none"/>
              </w:rPr>
            </w:pPr>
          </w:p>
        </w:tc>
        <w:tc>
          <w:tcPr>
            <w:tcW w:w="1285" w:type="dxa"/>
            <w:tcBorders>
              <w:top w:val="nil"/>
              <w:left w:val="nil"/>
              <w:bottom w:val="single" w:sz="4" w:space="0" w:color="000000"/>
              <w:right w:val="nil"/>
            </w:tcBorders>
            <w:noWrap w:val="1"/>
            <w:vAlign w:val="center"/>
          </w:tcPr>
          <w:p>
            <w:pPr>
              <w:divId w:val="0"/>
              <w:jc w:val="center"/>
              <w:rPr>
                <w:rFonts w:ascii="宋体" w:eastAsia="宋体" w:hAnsi="宋体" w:cs="宋体" w:hint="eastAsia"/>
                <w:i w:val="0"/>
                <w:iCs w:val="0"/>
                <w:color w:val="000000"/>
                <w:sz w:val="16"/>
                <w:szCs w:val="16"/>
                <w:u w:val="none"/>
              </w:rPr>
            </w:pPr>
          </w:p>
        </w:tc>
        <w:tc>
          <w:tcPr>
            <w:tcW w:w="1285" w:type="dxa"/>
            <w:tcBorders>
              <w:top w:val="nil"/>
              <w:left w:val="nil"/>
              <w:bottom w:val="single" w:sz="4" w:space="0" w:color="000000"/>
              <w:right w:val="nil"/>
            </w:tcBorders>
            <w:noWrap w:val="1"/>
            <w:vAlign w:val="center"/>
          </w:tcPr>
          <w:p>
            <w:pPr>
              <w:divId w:val="0"/>
              <w:jc w:val="center"/>
              <w:rPr>
                <w:rFonts w:ascii="宋体" w:eastAsia="宋体" w:hAnsi="宋体" w:cs="宋体" w:hint="eastAsia"/>
                <w:i w:val="0"/>
                <w:iCs w:val="0"/>
                <w:color w:val="000000"/>
                <w:sz w:val="16"/>
                <w:szCs w:val="16"/>
                <w:u w:val="none"/>
              </w:rPr>
            </w:pPr>
          </w:p>
        </w:tc>
        <w:tc>
          <w:tcPr>
            <w:tcW w:w="2658" w:type="dxa"/>
            <w:gridSpan w:val="2"/>
            <w:tcBorders>
              <w:top w:val="nil"/>
              <w:left w:val="nil"/>
              <w:bottom w:val="single" w:sz="4" w:space="0" w:color="000000"/>
              <w:right w:val="nil"/>
            </w:tcBorders>
            <w:noWrap w:val="1"/>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300"/>
          <w:jc w:val="center"/>
        </w:trPr>
        <w:tc>
          <w:tcPr>
            <w:tcW w:w="733"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部门（单位）代码</w:t>
            </w:r>
          </w:p>
        </w:tc>
        <w:tc>
          <w:tcPr>
            <w:tcW w:w="140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部门（单位）名称</w:t>
            </w:r>
          </w:p>
        </w:tc>
        <w:tc>
          <w:tcPr>
            <w:tcW w:w="1344"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合计</w:t>
            </w:r>
          </w:p>
        </w:tc>
        <w:tc>
          <w:tcPr>
            <w:tcW w:w="12806" w:type="dxa"/>
            <w:gridSpan w:val="10"/>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本年收入</w:t>
            </w:r>
          </w:p>
        </w:tc>
      </w:tr>
      <w:tr>
        <w:tblPrEx>
          <w:tblW w:w="16288" w:type="dxa"/>
          <w:jc w:val="center"/>
          <w:tblLayout w:type="fixed"/>
          <w:tblCellMar>
            <w:top w:w="0" w:type="dxa"/>
            <w:left w:w="108" w:type="dxa"/>
            <w:bottom w:w="0" w:type="dxa"/>
            <w:right w:w="108" w:type="dxa"/>
          </w:tblCellMar>
          <w:tblLook w:val="0000"/>
        </w:tblPrEx>
        <w:trPr>
          <w:trHeight w:val="300"/>
          <w:jc w:val="center"/>
        </w:trPr>
        <w:tc>
          <w:tcPr>
            <w:tcW w:w="733"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40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44"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153"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一般公共预算</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政府性基金预算</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国有资本经营预算</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财政专户管理资金</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事业收入</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事业单位经营收入</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上级补助收入</w:t>
            </w:r>
          </w:p>
        </w:tc>
        <w:tc>
          <w:tcPr>
            <w:tcW w:w="1329"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附属单位上缴收入</w:t>
            </w:r>
          </w:p>
        </w:tc>
        <w:tc>
          <w:tcPr>
            <w:tcW w:w="1329"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其他收入</w:t>
            </w:r>
          </w:p>
        </w:tc>
      </w:tr>
      <w:tr>
        <w:tblPrEx>
          <w:tblW w:w="16288" w:type="dxa"/>
          <w:jc w:val="center"/>
          <w:tblLayout w:type="fixed"/>
          <w:tblCellMar>
            <w:top w:w="0" w:type="dxa"/>
            <w:left w:w="108" w:type="dxa"/>
            <w:bottom w:w="0" w:type="dxa"/>
            <w:right w:w="108" w:type="dxa"/>
          </w:tblCellMar>
          <w:tblLook w:val="0000"/>
        </w:tblPrEx>
        <w:trPr>
          <w:trHeight w:val="270"/>
          <w:jc w:val="center"/>
        </w:trPr>
        <w:tc>
          <w:tcPr>
            <w:tcW w:w="733"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40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44"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153"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29"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29"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r>
      <w:tr>
        <w:tblPrEx>
          <w:tblW w:w="16288" w:type="dxa"/>
          <w:jc w:val="center"/>
          <w:tblLayout w:type="fixed"/>
          <w:tblCellMar>
            <w:top w:w="0" w:type="dxa"/>
            <w:left w:w="108" w:type="dxa"/>
            <w:bottom w:w="0" w:type="dxa"/>
            <w:right w:w="108" w:type="dxa"/>
          </w:tblCellMar>
          <w:tblLook w:val="0000"/>
        </w:tblPrEx>
        <w:trPr>
          <w:trHeight w:val="782"/>
          <w:jc w:val="center"/>
        </w:trPr>
        <w:tc>
          <w:tcPr>
            <w:tcW w:w="2138"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合计</w:t>
            </w:r>
          </w:p>
        </w:tc>
        <w:tc>
          <w:tcPr>
            <w:tcW w:w="134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11990191.78</w:t>
            </w:r>
          </w:p>
        </w:tc>
        <w:tc>
          <w:tcPr>
            <w:tcW w:w="11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11985619.18</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11965619.18</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20000.00</w:t>
            </w:r>
          </w:p>
        </w:tc>
      </w:tr>
      <w:tr>
        <w:tblPrEx>
          <w:tblW w:w="16288" w:type="dxa"/>
          <w:jc w:val="center"/>
          <w:tblLayout w:type="fixed"/>
          <w:tblCellMar>
            <w:top w:w="0" w:type="dxa"/>
            <w:left w:w="108" w:type="dxa"/>
            <w:bottom w:w="0" w:type="dxa"/>
            <w:right w:w="108" w:type="dxa"/>
          </w:tblCellMar>
          <w:tblLook w:val="0000"/>
        </w:tblPrEx>
        <w:trPr>
          <w:trHeight w:val="283"/>
          <w:jc w:val="center"/>
        </w:trPr>
        <w:tc>
          <w:tcPr>
            <w:tcW w:w="73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554101</w:t>
            </w:r>
          </w:p>
        </w:tc>
        <w:tc>
          <w:tcPr>
            <w:tcW w:w="140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中国农工民主党天津市委员会</w:t>
            </w:r>
          </w:p>
        </w:tc>
        <w:tc>
          <w:tcPr>
            <w:tcW w:w="134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11990191.78</w:t>
            </w:r>
          </w:p>
        </w:tc>
        <w:tc>
          <w:tcPr>
            <w:tcW w:w="11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11985619.18</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11965619.18</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20000.00</w:t>
            </w:r>
          </w:p>
        </w:tc>
      </w:tr>
      <w:tr>
        <w:tblPrEx>
          <w:tblW w:w="16288" w:type="dxa"/>
          <w:jc w:val="center"/>
          <w:tblLayout w:type="fixed"/>
          <w:tblCellMar>
            <w:top w:w="0" w:type="dxa"/>
            <w:left w:w="108" w:type="dxa"/>
            <w:bottom w:w="0" w:type="dxa"/>
            <w:right w:w="108" w:type="dxa"/>
          </w:tblCellMar>
          <w:tblLook w:val="0000"/>
        </w:tblPrEx>
        <w:trPr>
          <w:trHeight w:val="270"/>
          <w:jc w:val="center"/>
        </w:trPr>
        <w:tc>
          <w:tcPr>
            <w:tcW w:w="16288" w:type="dxa"/>
            <w:gridSpan w:val="13"/>
            <w:tcBorders>
              <w:top w:val="single" w:sz="4" w:space="0" w:color="000000"/>
              <w:left w:val="nil"/>
              <w:bottom w:val="nil"/>
              <w:right w:val="nil"/>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注：本表反映本年度取得的各项收入情况。财政专户管理资金是指教育收费；事业收入不含教育收费。</w:t>
            </w:r>
          </w:p>
        </w:tc>
      </w:tr>
    </w:tbl>
    <w:p>
      <w:pPr>
        <w:pStyle w:val="标题2"/>
        <w:wordWrap w:val="0"/>
        <w:spacing w:before="0" w:after="0" w:line="240" w:lineRule="auto"/>
        <w:ind w:firstLine="0" w:firstLineChars="0"/>
        <w:rPr>
          <w:rFonts w:ascii="黑体" w:eastAsia="黑体" w:hAnsi="黑体" w:hint="eastAsia"/>
          <w:sz w:val="30"/>
          <w:szCs w:val="30"/>
          <w:lang w:val="en-US" w:eastAsia="zh-CN"/>
        </w:rPr>
      </w:pPr>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697"/>
        <w:gridCol w:w="1388"/>
        <w:gridCol w:w="1482"/>
        <w:gridCol w:w="1836"/>
        <w:gridCol w:w="1802"/>
        <w:gridCol w:w="1798"/>
        <w:gridCol w:w="1884"/>
        <w:gridCol w:w="1692"/>
        <w:gridCol w:w="1860"/>
        <w:gridCol w:w="1849"/>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9003" w:type="dxa"/>
            <w:gridSpan w:val="6"/>
            <w:tcBorders>
              <w:top w:val="nil"/>
              <w:left w:val="nil"/>
              <w:bottom w:val="single" w:sz="4" w:space="0" w:color="000000"/>
              <w:right w:val="nil"/>
            </w:tcBorders>
            <w:noWrap w:val="1"/>
            <w:vAlign w:val="center"/>
          </w:tcPr>
          <w:p>
            <w:pPr>
              <w:divId w:val="0"/>
              <w:snapToGrid w:val="0"/>
              <w:rPr>
                <w:rFonts w:ascii="宋体" w:eastAsia="宋体" w:hAnsi="宋体" w:cs="宋体" w:hint="eastAsia"/>
                <w:i w:val="0"/>
                <w:iCs w:val="0"/>
                <w:color w:val="000000"/>
                <w:sz w:val="16"/>
                <w:szCs w:val="16"/>
                <w:u w:val="none"/>
              </w:rPr>
            </w:pPr>
            <w:r>
              <w:rPr>
                <w:rFonts w:ascii="宋体" w:hAnsi="宋体" w:cs="宋体" w:hint="eastAsia"/>
                <w:i w:val="0"/>
                <w:iCs w:val="0"/>
                <w:color w:val="000000"/>
                <w:kern w:val="0.0"/>
                <w:sz w:val="16"/>
                <w:szCs w:val="16"/>
                <w:u w:val="none"/>
                <w:lang w:val="en-US" w:eastAsia="zh-CN"/>
              </w:rPr>
              <w:t xml:space="preserve">部门</w:t>
            </w:r>
            <w:r>
              <w:rPr>
                <w:rFonts w:ascii="宋体" w:eastAsia="宋体" w:hAnsi="宋体" w:cs="宋体" w:hint="eastAsia"/>
                <w:i w:val="0"/>
                <w:iCs w:val="0"/>
                <w:color w:val="000000"/>
                <w:kern w:val="0.0"/>
                <w:sz w:val="16"/>
                <w:szCs w:val="16"/>
                <w:u w:val="none"/>
                <w:lang w:val="en-US" w:eastAsia="zh-CN"/>
              </w:rPr>
              <w:t xml:space="preserve">：</w:t>
            </w:r>
            <w:r>
              <w:rPr>
                <w:rFonts w:ascii="宋体" w:eastAsia="宋体" w:hAnsi="宋体" w:cs="宋体" w:hint="eastAsia"/>
                <w:i w:val="0"/>
                <w:iCs w:val="0"/>
                <w:color w:val="000000"/>
                <w:kern w:val="0.0"/>
                <w:sz w:val="16"/>
                <w:szCs w:val="16"/>
                <w:u w:val="none"/>
                <w:lang w:val="en-US" w:eastAsia="zh-CN"/>
              </w:rPr>
              <w:t xml:space="preserve">中国农工民主党天津市委员会</w:t>
            </w:r>
          </w:p>
        </w:tc>
        <w:tc>
          <w:tcPr>
            <w:tcW w:w="3576" w:type="dxa"/>
            <w:gridSpan w:val="2"/>
            <w:tcBorders>
              <w:top w:val="nil"/>
              <w:left w:val="nil"/>
              <w:bottom w:val="single" w:sz="4" w:space="0" w:color="000000"/>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16"/>
                <w:szCs w:val="16"/>
                <w:u w:val="none"/>
                <w:lang w:val="en-US" w:eastAsia="zh-CN"/>
              </w:rPr>
            </w:pPr>
          </w:p>
        </w:tc>
        <w:tc>
          <w:tcPr>
            <w:tcW w:w="3709" w:type="dxa"/>
            <w:gridSpan w:val="2"/>
            <w:tcBorders>
              <w:top w:val="nil"/>
              <w:left w:val="nil"/>
              <w:bottom w:val="single" w:sz="4" w:space="0" w:color="000000"/>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697"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部门（单位）代码</w:t>
            </w:r>
          </w:p>
        </w:tc>
        <w:tc>
          <w:tcPr>
            <w:tcW w:w="1388"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部门（单位）名称</w:t>
            </w:r>
          </w:p>
        </w:tc>
        <w:tc>
          <w:tcPr>
            <w:tcW w:w="14203" w:type="dxa"/>
            <w:gridSpan w:val="8"/>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上年结转和结余</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697"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38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482"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7320" w:type="dxa"/>
            <w:gridSpan w:val="4"/>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财政拨款结转结余</w:t>
            </w:r>
          </w:p>
        </w:tc>
        <w:tc>
          <w:tcPr>
            <w:tcW w:w="5401" w:type="dxa"/>
            <w:gridSpan w:val="3"/>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非财政拨款结转结余</w:t>
            </w:r>
          </w:p>
        </w:tc>
      </w:tr>
      <w:tr>
        <w:tblPrEx>
          <w:tblW w:w="16288" w:type="dxa"/>
          <w:jc w:val="center"/>
          <w:tblLayout w:type="fixed"/>
          <w:tblCellMar>
            <w:top w:w="0" w:type="dxa"/>
            <w:left w:w="108" w:type="dxa"/>
            <w:bottom w:w="0" w:type="dxa"/>
            <w:right w:w="108" w:type="dxa"/>
          </w:tblCellMar>
          <w:tblLook w:val="0000"/>
        </w:tblPrEx>
        <w:trPr>
          <w:cantSplit/>
          <w:trHeight w:hRule="auto" w:val="0"/>
          <w:jc w:val="center"/>
        </w:trPr>
        <w:tc>
          <w:tcPr>
            <w:tcW w:w="697"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38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482"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836"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180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一般公共预算</w:t>
            </w:r>
          </w:p>
        </w:tc>
        <w:tc>
          <w:tcPr>
            <w:tcW w:w="179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政府性基金预算</w:t>
            </w:r>
          </w:p>
        </w:tc>
        <w:tc>
          <w:tcPr>
            <w:tcW w:w="188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国有资本经营预算</w:t>
            </w:r>
          </w:p>
        </w:tc>
        <w:tc>
          <w:tcPr>
            <w:tcW w:w="169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186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财政专户管理资金</w:t>
            </w:r>
          </w:p>
        </w:tc>
        <w:tc>
          <w:tcPr>
            <w:tcW w:w="184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单位资金</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2085"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合计</w:t>
            </w:r>
          </w:p>
        </w:tc>
        <w:tc>
          <w:tcPr>
            <w:tcW w:w="148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4572.60</w:t>
            </w:r>
          </w:p>
        </w:tc>
        <w:tc>
          <w:tcPr>
            <w:tcW w:w="1836"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4572.60</w:t>
            </w:r>
          </w:p>
        </w:tc>
        <w:tc>
          <w:tcPr>
            <w:tcW w:w="180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4572.60</w:t>
            </w:r>
          </w:p>
        </w:tc>
        <w:tc>
          <w:tcPr>
            <w:tcW w:w="179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8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69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6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4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697"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auto"/>
                <w:kern w:val="0.0"/>
                <w:sz w:val="16"/>
                <w:szCs w:val="16"/>
                <w:u w:val="none"/>
                <w:lang w:val="en-US" w:eastAsia="zh-CN"/>
              </w:rPr>
            </w:pPr>
            <w:r>
              <w:rPr>
                <w:rFonts w:ascii="宋体" w:eastAsia="宋体" w:hAnsi="宋体" w:cs="宋体" w:hint="eastAsia"/>
                <w:i w:val="0"/>
                <w:iCs w:val="0"/>
                <w:color w:val="auto"/>
                <w:kern w:val="0.0"/>
                <w:sz w:val="16"/>
                <w:szCs w:val="16"/>
                <w:u w:val="none"/>
                <w:lang w:val="en-US" w:eastAsia="zh-CN"/>
              </w:rPr>
              <w:t xml:space="preserve">554101</w:t>
            </w:r>
          </w:p>
        </w:tc>
        <w:tc>
          <w:tcPr>
            <w:tcW w:w="138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auto"/>
                <w:kern w:val="0.0"/>
                <w:sz w:val="16"/>
                <w:szCs w:val="16"/>
                <w:u w:val="none"/>
                <w:lang w:val="en-US" w:eastAsia="zh-CN"/>
              </w:rPr>
            </w:pPr>
            <w:r>
              <w:rPr>
                <w:rFonts w:ascii="宋体" w:eastAsia="宋体" w:hAnsi="宋体" w:cs="宋体" w:hint="eastAsia"/>
                <w:i w:val="0"/>
                <w:iCs w:val="0"/>
                <w:color w:val="auto"/>
                <w:kern w:val="0.0"/>
                <w:sz w:val="16"/>
                <w:szCs w:val="16"/>
                <w:u w:val="none"/>
                <w:lang w:val="en-US" w:eastAsia="zh-CN"/>
              </w:rPr>
              <w:t xml:space="preserve">中国农工民主党天津市委员会</w:t>
            </w:r>
          </w:p>
        </w:tc>
        <w:tc>
          <w:tcPr>
            <w:tcW w:w="148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4572.60</w:t>
            </w:r>
          </w:p>
        </w:tc>
        <w:tc>
          <w:tcPr>
            <w:tcW w:w="1836"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4572.60</w:t>
            </w:r>
          </w:p>
        </w:tc>
        <w:tc>
          <w:tcPr>
            <w:tcW w:w="180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4572.60</w:t>
            </w:r>
          </w:p>
        </w:tc>
        <w:tc>
          <w:tcPr>
            <w:tcW w:w="179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8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69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6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4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10"/>
            <w:tcBorders>
              <w:top w:val="single" w:sz="4" w:space="0" w:color="000000"/>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注：本表反映本年度取得的各项收入情况。财政专户管理资金是指教育收费；事业收入不含教育收费。</w:t>
            </w:r>
          </w:p>
        </w:tc>
      </w:tr>
    </w:tbl>
    <w:p>
      <w:pPr>
        <w:sectPr>
          <w:footerReference w:type="default" r:id="rId6"/>
          <w:pgSz w:w="16838" w:h="11906" w:orient="landscape"/>
          <w:pgMar w:top="1800" w:right="1440" w:bottom="1800" w:left="144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textDirection w:val="lrTb"/>
          <w:docGrid w:type="lines" w:linePitch="312" w:charSpace="0"/>
        </w:sectPr>
      </w:pPr>
    </w:p>
    <w:p>
      <w:pPr>
        <w:pStyle w:val="标题2"/>
        <w:wordWrap w:val="0"/>
        <w:spacing w:before="0" w:after="0" w:line="800" w:lineRule="exact"/>
        <w:ind w:firstLine="600" w:firstLineChars="200"/>
        <w:rPr>
          <w:rFonts w:ascii="黑体" w:eastAsia="黑体" w:hAnsi="黑体" w:hint="eastAsia"/>
          <w:sz w:val="30"/>
          <w:szCs w:val="30"/>
          <w:lang w:val="en-US" w:eastAsia="zh-CN"/>
        </w:rPr>
      </w:pPr>
      <w:bookmarkStart w:id="7" w:name="_Toc16222"/>
      <w:r>
        <w:rPr>
          <w:rFonts w:ascii="黑体" w:eastAsia="黑体" w:hAnsi="黑体" w:hint="eastAsia"/>
          <w:sz w:val="30"/>
          <w:szCs w:val="30"/>
          <w:lang w:val="en-US" w:eastAsia="zh-CN"/>
        </w:rPr>
        <w:t xml:space="preserve">四、《支出决算表》</w:t>
      </w:r>
      <w:bookmarkEnd w:id="7"/>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962"/>
        <w:gridCol w:w="3228"/>
        <w:gridCol w:w="1980"/>
        <w:gridCol w:w="1968"/>
        <w:gridCol w:w="2016"/>
        <w:gridCol w:w="2010"/>
        <w:gridCol w:w="2062"/>
        <w:gridCol w:w="2062"/>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8138" w:type="dxa"/>
            <w:gridSpan w:val="4"/>
            <w:tcBorders>
              <w:top w:val="nil"/>
              <w:left w:val="nil"/>
              <w:bottom w:val="single" w:sz="4" w:space="0" w:color="000000"/>
              <w:right w:val="nil"/>
            </w:tcBorders>
            <w:shd w:val="clear" w:color="auto" w:fill="FFFFFF"/>
            <w:noWrap w:val="1"/>
            <w:vAlign w:val="center"/>
          </w:tcPr>
          <w:p>
            <w:pPr>
              <w:divId w:val="0"/>
              <w:snapToGrid w:val="0"/>
              <w:jc w:val="left"/>
              <w:rPr>
                <w:rFonts w:ascii="宋体" w:eastAsia="宋体" w:hAnsi="宋体" w:cs="宋体" w:hint="eastAsia"/>
                <w:i w:val="0"/>
                <w:iCs w:val="0"/>
                <w:color w:val="000000"/>
                <w:sz w:val="22"/>
                <w:szCs w:val="22"/>
                <w:u w:val="none"/>
              </w:rPr>
            </w:pPr>
            <w:r>
              <w:rPr>
                <w:rFonts w:ascii="宋体" w:hAnsi="宋体" w:cs="宋体" w:hint="eastAsia"/>
                <w:i w:val="0"/>
                <w:iCs w:val="0"/>
                <w:color w:val="000000"/>
                <w:kern w:val="0.0"/>
                <w:sz w:val="20"/>
                <w:szCs w:val="20"/>
                <w:u w:val="none"/>
                <w:lang w:val="en-US" w:eastAsia="zh-CN"/>
              </w:rPr>
              <w:t xml:space="preserve">部门</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中国农工民主党天津市委员会</w:t>
            </w:r>
          </w:p>
        </w:tc>
        <w:tc>
          <w:tcPr>
            <w:tcW w:w="2016" w:type="dxa"/>
            <w:tcBorders>
              <w:top w:val="nil"/>
              <w:left w:val="nil"/>
              <w:bottom w:val="single" w:sz="4" w:space="0" w:color="000000"/>
              <w:right w:val="nil"/>
            </w:tcBorders>
            <w:shd w:val="clear" w:color="auto" w:fill="FFFFFF"/>
            <w:noWrap w:val="1"/>
            <w:vAlign w:val="center"/>
          </w:tcPr>
          <w:p>
            <w:pPr>
              <w:divId w:val="0"/>
              <w:snapToGrid w:val="0"/>
              <w:jc w:val="center"/>
              <w:rPr>
                <w:rFonts w:ascii="宋体" w:eastAsia="宋体" w:hAnsi="宋体" w:cs="宋体" w:hint="eastAsia"/>
                <w:i w:val="0"/>
                <w:iCs w:val="0"/>
                <w:color w:val="000000"/>
                <w:sz w:val="22"/>
                <w:szCs w:val="22"/>
                <w:u w:val="none"/>
              </w:rPr>
            </w:pPr>
          </w:p>
        </w:tc>
        <w:tc>
          <w:tcPr>
            <w:tcW w:w="2010" w:type="dxa"/>
            <w:tcBorders>
              <w:top w:val="nil"/>
              <w:left w:val="nil"/>
              <w:bottom w:val="single" w:sz="4" w:space="0" w:color="000000"/>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2"/>
                <w:szCs w:val="22"/>
                <w:u w:val="none"/>
              </w:rPr>
            </w:pPr>
          </w:p>
        </w:tc>
        <w:tc>
          <w:tcPr>
            <w:tcW w:w="2062" w:type="dxa"/>
            <w:tcBorders>
              <w:top w:val="nil"/>
              <w:left w:val="nil"/>
              <w:bottom w:val="single" w:sz="4" w:space="0" w:color="000000"/>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2"/>
                <w:szCs w:val="22"/>
                <w:u w:val="none"/>
              </w:rPr>
            </w:pPr>
          </w:p>
        </w:tc>
        <w:tc>
          <w:tcPr>
            <w:tcW w:w="2062" w:type="dxa"/>
            <w:tcBorders>
              <w:top w:val="nil"/>
              <w:left w:val="nil"/>
              <w:bottom w:val="single" w:sz="4" w:space="0" w:color="000000"/>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2"/>
                <w:szCs w:val="22"/>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419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支出功能分类科目</w:t>
            </w:r>
          </w:p>
        </w:tc>
        <w:tc>
          <w:tcPr>
            <w:tcW w:w="198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本年支出合计</w:t>
            </w:r>
          </w:p>
        </w:tc>
        <w:tc>
          <w:tcPr>
            <w:tcW w:w="196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基本支出</w:t>
            </w:r>
          </w:p>
        </w:tc>
        <w:tc>
          <w:tcPr>
            <w:tcW w:w="201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项目支出</w:t>
            </w:r>
          </w:p>
        </w:tc>
        <w:tc>
          <w:tcPr>
            <w:tcW w:w="201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上缴上级支出</w:t>
            </w:r>
          </w:p>
        </w:tc>
        <w:tc>
          <w:tcPr>
            <w:tcW w:w="20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经营支出</w:t>
            </w:r>
          </w:p>
        </w:tc>
        <w:tc>
          <w:tcPr>
            <w:tcW w:w="20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对附属单位补助支出</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9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322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98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9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12"/>
          <w:jc w:val="center"/>
        </w:trPr>
        <w:tc>
          <w:tcPr>
            <w:tcW w:w="9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32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98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9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4190" w:type="dxa"/>
            <w:gridSpan w:val="2"/>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kern w:val="0.0"/>
                <w:sz w:val="20"/>
                <w:szCs w:val="20"/>
                <w:lang w:val="en-US" w:eastAsia="zh-CN"/>
              </w:rPr>
            </w:pPr>
            <w:r>
              <w:rPr>
                <w:rFonts w:ascii="Times New Roman" w:eastAsia="宋体" w:hAnsi="Times New Roman" w:cs="Times New Roman" w:hint="default"/>
                <w:kern w:val="0.0"/>
                <w:sz w:val="20"/>
                <w:szCs w:val="20"/>
                <w:lang w:val="en-US" w:eastAsia="zh-CN"/>
              </w:rPr>
              <w:t xml:space="preserve">11985745.04</w:t>
            </w:r>
          </w:p>
          <w:p>
            <w:pPr>
              <w:divId w:val="0"/>
              <w:keepNext w:val="0"/>
              <w:keepLines w:val="0"/>
              <w:widowControl/>
              <w:suppressLineNumbers w:val="0"/>
              <w:snapToGrid w:val="0"/>
              <w:jc w:val="right"/>
              <w:rPr>
                <w:rFonts w:ascii="Times New Roman" w:eastAsia="宋体" w:hAnsi="Times New Roman" w:cs="Times New Roman" w:hint="default"/>
                <w:kern w:val="0.0"/>
                <w:sz w:val="20"/>
                <w:szCs w:val="20"/>
                <w:lang w:val="en-US" w:eastAsia="zh-CN"/>
              </w:rPr>
            </w:pP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kern w:val="0.0"/>
                <w:sz w:val="20"/>
                <w:szCs w:val="20"/>
                <w:lang w:val="en-US" w:eastAsia="zh-CN"/>
              </w:rPr>
            </w:pPr>
            <w:r>
              <w:rPr>
                <w:rFonts w:ascii="Times New Roman" w:eastAsia="宋体" w:hAnsi="Times New Roman" w:cs="Times New Roman" w:hint="default"/>
                <w:kern w:val="0.0"/>
                <w:sz w:val="20"/>
                <w:szCs w:val="20"/>
                <w:lang w:val="en-US" w:eastAsia="zh-CN"/>
              </w:rPr>
              <w:t xml:space="preserve">10539238.24</w:t>
            </w:r>
          </w:p>
          <w:p>
            <w:pPr>
              <w:divId w:val="0"/>
              <w:keepNext w:val="0"/>
              <w:keepLines w:val="0"/>
              <w:widowControl/>
              <w:suppressLineNumbers w:val="0"/>
              <w:snapToGrid w:val="0"/>
              <w:jc w:val="right"/>
              <w:rPr>
                <w:rFonts w:ascii="Times New Roman" w:eastAsia="宋体" w:hAnsi="Times New Roman" w:cs="Times New Roman" w:hint="default"/>
                <w:kern w:val="0.0"/>
                <w:sz w:val="20"/>
                <w:szCs w:val="20"/>
                <w:lang w:val="en-US" w:eastAsia="zh-CN"/>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kern w:val="0.0"/>
                <w:sz w:val="20"/>
                <w:szCs w:val="20"/>
                <w:lang w:val="en-US" w:eastAsia="zh-CN"/>
              </w:rPr>
            </w:pPr>
            <w:r>
              <w:rPr>
                <w:rFonts w:ascii="Times New Roman" w:eastAsia="宋体" w:hAnsi="Times New Roman" w:cs="Times New Roman" w:hint="default"/>
                <w:kern w:val="0.0"/>
                <w:sz w:val="20"/>
                <w:szCs w:val="20"/>
                <w:lang w:val="en-US" w:eastAsia="zh-CN"/>
              </w:rPr>
              <w:t xml:space="preserve">1446506.80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kern w:val="0.0"/>
                <w:sz w:val="20"/>
                <w:szCs w:val="20"/>
                <w:lang w:val="en-US" w:eastAsia="zh-CN"/>
              </w:rPr>
            </w:pPr>
          </w:p>
          <w:p>
            <w:pPr>
              <w:divId w:val="0"/>
              <w:keepNext w:val="0"/>
              <w:keepLines w:val="0"/>
              <w:widowControl/>
              <w:suppressLineNumbers w:val="0"/>
              <w:snapToGrid w:val="0"/>
              <w:jc w:val="right"/>
              <w:rPr>
                <w:rFonts w:ascii="Times New Roman" w:eastAsia="宋体" w:hAnsi="Times New Roman" w:cs="Times New Roman" w:hint="default"/>
                <w:kern w:val="0.0"/>
                <w:sz w:val="20"/>
                <w:szCs w:val="20"/>
                <w:lang w:val="en-US" w:eastAsia="zh-CN"/>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kern w:val="0.0"/>
                <w:sz w:val="20"/>
                <w:szCs w:val="20"/>
                <w:lang w:val="en-US" w:eastAsia="zh-CN"/>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kern w:val="0.0"/>
                <w:sz w:val="20"/>
                <w:szCs w:val="20"/>
                <w:lang w:val="en-US" w:eastAsia="zh-CN"/>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201</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一般公共服务支出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10432880.14</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8986373.34</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1446506.80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20128</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民主党派及工商联事务</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10432880.14</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8986373.34</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1446506.80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2012801</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行政运行</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8986373.34</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8986373.34</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2012802</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一般行政管理事务</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50000.00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50000.00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2012804</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参政议政</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728394.80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728394.80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2012899</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其他民主党派及工商联事务支出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668112.00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668112.00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208</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社会保障和就业支出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1007363.76</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1007363.76</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20805</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行政事业单位养老支出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1007363.76</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1007363.76</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2080505</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机关事业单位基本养老保险缴费支出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671575.84</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671575.84</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2080506</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机关事业单位职业年金缴费支出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335787.92</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335787.92</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210</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卫生健康支出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525501.14</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525501.14</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21011</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行政事业单位医疗</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525501.14</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525501.14</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2101101</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行政单位医疗</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442234.90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442234.90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2101103</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公务员医疗补助</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83266.24</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83266.24</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229</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其他支出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20000.00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20000.00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22999</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其他支出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20000.00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20000.00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2299999</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其他支出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20000.00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20000.00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8"/>
            <w:tcBorders>
              <w:top w:val="single" w:sz="4" w:space="0" w:color="000000"/>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注：本表反映本年度各项支出情况。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8" w:name="_Toc10133"/>
      <w:r>
        <w:rPr>
          <w:rFonts w:ascii="黑体" w:eastAsia="黑体" w:hAnsi="黑体" w:hint="eastAsia"/>
          <w:sz w:val="30"/>
          <w:szCs w:val="30"/>
          <w:lang w:val="en-US" w:eastAsia="zh-CN"/>
        </w:rPr>
        <w:t xml:space="preserve">五、《财政拨款收入支出决算总表》</w:t>
      </w:r>
      <w:bookmarkEnd w:id="8"/>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3051"/>
        <w:gridCol w:w="2324"/>
        <w:gridCol w:w="2968"/>
        <w:gridCol w:w="2004"/>
        <w:gridCol w:w="1992"/>
        <w:gridCol w:w="1932"/>
        <w:gridCol w:w="2017"/>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8343" w:type="dxa"/>
            <w:gridSpan w:val="3"/>
            <w:tcBorders>
              <w:top w:val="nil"/>
              <w:left w:val="nil"/>
              <w:bottom w:val="nil"/>
              <w:right w:val="nil"/>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部门</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中国农工民主党天津市委员会</w:t>
            </w:r>
          </w:p>
        </w:tc>
        <w:tc>
          <w:tcPr>
            <w:tcW w:w="2004" w:type="dxa"/>
            <w:tcBorders>
              <w:top w:val="nil"/>
              <w:left w:val="nil"/>
              <w:bottom w:val="nil"/>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992" w:type="dxa"/>
            <w:tcBorders>
              <w:top w:val="nil"/>
              <w:left w:val="nil"/>
              <w:bottom w:val="nil"/>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3949" w:type="dxa"/>
            <w:gridSpan w:val="2"/>
            <w:tcBorders>
              <w:top w:val="nil"/>
              <w:left w:val="nil"/>
              <w:bottom w:val="nil"/>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5375" w:type="dxa"/>
            <w:gridSpan w:val="2"/>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收入</w:t>
            </w:r>
          </w:p>
        </w:tc>
        <w:tc>
          <w:tcPr>
            <w:tcW w:w="10913" w:type="dxa"/>
            <w:gridSpan w:val="5"/>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232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w:t>
            </w: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992" w:type="dxa"/>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一般公共预算财政拨款</w:t>
            </w:r>
          </w:p>
        </w:tc>
        <w:tc>
          <w:tcPr>
            <w:tcW w:w="1932" w:type="dxa"/>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政府性基金预算财政拨款</w:t>
            </w:r>
          </w:p>
        </w:tc>
        <w:tc>
          <w:tcPr>
            <w:tcW w:w="2017" w:type="dxa"/>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国有资本经营预算财政拨款</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一、一般公共预算财政拨款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11965619.18</w:t>
            </w: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一、一般公共服务支出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10432880.14</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10432880.14</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二、政府性基金预算财政拨款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二、公共安全支出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三、国有资本经营预算财政拨款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三、教育支出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四、科学技术支出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五、文化旅游体育与传媒支出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六、社会保障和就业支出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1007363.76</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1007363.76</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七、卫生健康支出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525501.14</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525501.14</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八、节能环保支出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九、城乡社区支出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十、农林水支出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十一、交通运输支出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十二、资源勘探工业信息等支出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十三、商业服务业等支出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十四、金融支出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十五、援助其他地区支出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十六、自然资源海洋气象等支出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十七、住房保障支出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十八、粮油物资储备支出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十九、国有资本经营预算支出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二十、灾害防治及应急管理支出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二十一、其他支出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二十二、债务付息支出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73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二十三、抗疫特别国债安排的支出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本年收入合计</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11965619.18</w:t>
            </w: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本年支出合计</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11965745.04</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333333"/>
                <w:kern w:val="0.0"/>
                <w:sz w:val="20"/>
                <w:szCs w:val="20"/>
                <w:u w:val="none"/>
                <w:lang w:val="en-US" w:eastAsia="zh-CN"/>
              </w:rPr>
              <w:t xml:space="preserve">11965745.04</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年初财政拨款结转和结余</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4572.60</w:t>
            </w: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年末财政拨款结转和结余</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4446.74</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333333"/>
                <w:kern w:val="0.0"/>
                <w:sz w:val="20"/>
                <w:szCs w:val="20"/>
                <w:u w:val="none"/>
                <w:lang w:val="en-US" w:eastAsia="zh-CN"/>
              </w:rPr>
              <w:t xml:space="preserve">4446.74</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spacing w:line="240" w:lineRule="auto"/>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一般公共预算财政拨款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4572.60</w:t>
            </w: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ind w:left="0" w:firstLine="0" w:lef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政府性基金预算财政拨款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国有资本经营预算财政拨款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总计</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11970191.78</w:t>
            </w: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总计</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11970191.78</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333333"/>
                <w:kern w:val="0.0"/>
                <w:sz w:val="20"/>
                <w:szCs w:val="20"/>
                <w:u w:val="none"/>
                <w:lang w:val="en-US" w:eastAsia="zh-CN"/>
              </w:rPr>
              <w:t xml:space="preserve">11970191.78</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7"/>
            <w:tcBorders>
              <w:top w:val="single" w:sz="4" w:space="0" w:color="000000"/>
              <w:left w:val="nil"/>
              <w:bottom w:val="nil"/>
              <w:right w:val="nil"/>
            </w:tcBorders>
            <w:shd w:val="clear" w:color="auto" w:fill="FFFFFF"/>
            <w:noWrap w:val="1"/>
            <w:vAlign w:val="center"/>
          </w:tcPr>
          <w:p>
            <w:pPr>
              <w:divId w:val="0"/>
              <w:keepNext w:val="0"/>
              <w:keepLines w:val="0"/>
              <w:widowControl/>
              <w:suppressLineNumbers w:val="0"/>
              <w:snapToGrid w:val="0"/>
              <w:jc w:val="left"/>
              <w:textAlignment w:val="center"/>
              <w:rPr>
                <w:rFonts w:ascii="等线" w:eastAsia="等线" w:hAnsi="等线" w:cs="等线"/>
                <w:b w:val="0"/>
                <w:bCs w:val="0"/>
                <w:i w:val="0"/>
                <w:iCs w:val="0"/>
                <w:color w:val="333333"/>
                <w:spacing w:val="0"/>
                <w:w w:val="100"/>
                <w:sz w:val="20"/>
                <w:szCs w:val="20"/>
                <w:vertAlign w:val="baseline"/>
              </w:rPr>
            </w:pPr>
            <w:r>
              <w:rPr>
                <w:rFonts w:ascii="宋体" w:eastAsia="宋体" w:hAnsi="宋体" w:cs="宋体" w:hint="eastAsia"/>
                <w:i w:val="0"/>
                <w:iCs w:val="0"/>
                <w:color w:val="000000"/>
                <w:sz w:val="20"/>
                <w:szCs w:val="20"/>
                <w:u w:val="none"/>
              </w:rPr>
              <w:t xml:space="preserve">注：本表反映本年度一般公共预算财政拨款、政府性基金预算财政拨款和国有资本经营预算财政拨款的总收支和年末结转结余情况。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9" w:name="_Toc32088"/>
      <w:r>
        <w:rPr>
          <w:rFonts w:ascii="黑体" w:eastAsia="黑体" w:hAnsi="黑体" w:hint="eastAsia"/>
          <w:sz w:val="30"/>
          <w:szCs w:val="30"/>
          <w:lang w:val="en-US" w:eastAsia="zh-CN"/>
        </w:rPr>
        <w:t xml:space="preserve">六、《一般公共预算财政拨款支出决算表》</w:t>
      </w:r>
      <w:bookmarkEnd w:id="9"/>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166"/>
        <w:gridCol w:w="2891"/>
        <w:gridCol w:w="2446"/>
        <w:gridCol w:w="2446"/>
        <w:gridCol w:w="2446"/>
        <w:gridCol w:w="2446"/>
        <w:gridCol w:w="2447"/>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13841" w:type="dxa"/>
            <w:gridSpan w:val="6"/>
            <w:tcBorders>
              <w:top w:val="nil"/>
              <w:left w:val="nil"/>
              <w:bottom w:val="nil"/>
              <w:right w:val="nil"/>
            </w:tcBorders>
            <w:shd w:val="clear" w:color="auto" w:fill="FFFFFF"/>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部门</w:t>
            </w:r>
            <w:r>
              <w:rPr>
                <w:rFonts w:ascii="宋体" w:eastAsia="宋体" w:hAnsi="宋体" w:cs="宋体" w:hint="eastAsia"/>
                <w:i w:val="0"/>
                <w:iCs w:val="0"/>
                <w:color w:val="000000"/>
                <w:kern w:val="0.0"/>
                <w:sz w:val="20"/>
                <w:szCs w:val="20"/>
                <w:u w:val="none"/>
                <w:lang w:val="en-US" w:eastAsia="zh-CN"/>
              </w:rPr>
              <w:t xml:space="preserve">：</w:t>
            </w:r>
            <w:r>
              <w:rPr>
                <w:rStyle w:val="font41"/>
                <w:lang w:val="en-US" w:eastAsia="zh-CN"/>
              </w:rPr>
              <w:t xml:space="preserve">中国农工民主党天津市委员会</w:t>
            </w:r>
          </w:p>
        </w:tc>
        <w:tc>
          <w:tcPr>
            <w:tcW w:w="2447" w:type="dxa"/>
            <w:tcBorders>
              <w:top w:val="nil"/>
              <w:left w:val="nil"/>
              <w:bottom w:val="nil"/>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4057" w:type="dxa"/>
            <w:gridSpan w:val="2"/>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支出功能分类科目</w:t>
            </w:r>
          </w:p>
        </w:tc>
        <w:tc>
          <w:tcPr>
            <w:tcW w:w="2446" w:type="dxa"/>
            <w:vMerge w:val="restart"/>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合计</w:t>
            </w:r>
          </w:p>
        </w:tc>
        <w:tc>
          <w:tcPr>
            <w:tcW w:w="7338" w:type="dxa"/>
            <w:gridSpan w:val="3"/>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基本支出</w:t>
            </w:r>
          </w:p>
        </w:tc>
        <w:tc>
          <w:tcPr>
            <w:tcW w:w="2447" w:type="dxa"/>
            <w:vMerge w:val="restart"/>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项目支出</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16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科目编码</w:t>
            </w:r>
          </w:p>
        </w:tc>
        <w:tc>
          <w:tcPr>
            <w:tcW w:w="289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科目名称</w:t>
            </w:r>
          </w:p>
        </w:tc>
        <w:tc>
          <w:tcPr>
            <w:tcW w:w="2446" w:type="dxa"/>
            <w:vMerge/>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p>
        </w:tc>
        <w:tc>
          <w:tcPr>
            <w:tcW w:w="244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小计</w:t>
            </w:r>
          </w:p>
        </w:tc>
        <w:tc>
          <w:tcPr>
            <w:tcW w:w="244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人员经费</w:t>
            </w:r>
          </w:p>
        </w:tc>
        <w:tc>
          <w:tcPr>
            <w:tcW w:w="244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公用经费</w:t>
            </w:r>
          </w:p>
        </w:tc>
        <w:tc>
          <w:tcPr>
            <w:tcW w:w="2447" w:type="dxa"/>
            <w:vMerge/>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4057" w:type="dxa"/>
            <w:gridSpan w:val="2"/>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合计</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11965745.04</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10519238.24</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9513019.14</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1006219.10</w:t>
            </w: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1446506.80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201</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一般公共服务支出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10432880.14</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8986373.34</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7980154.24</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1006219.10</w:t>
            </w: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1446506.80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20128</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民主党派及工商联事务</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10432880.14</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8986373.34</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7980154.24</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1006219.10</w:t>
            </w: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1446506.80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2012801</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行政运行</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8986373.34</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8986373.34</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7980154.24</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1006219.10</w:t>
            </w: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2012802</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一般行政管理事务</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50000.00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50000.00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2012804</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参政议政</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728394.80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728394.80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2012899</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其他民主党派及工商联事务支出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668112.00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668112.00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208</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社会保障和就业支出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1007363.76</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1007363.76</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1007363.76</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20805</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行政事业单位养老支出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1007363.76</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1007363.76</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1007363.76</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2080505</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机关事业单位基本养老保险缴费支出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671575.84</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671575.84</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671575.84</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2080506</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机关事业单位职业年金缴费支出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335787.92</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335787.92</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335787.92</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210</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卫生健康支出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525501.14</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525501.14</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525501.14</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21011</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行政事业单位医疗</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525501.14</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525501.14</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525501.14</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2101101</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行政单位医疗</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442234.90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442234.90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442234.90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2101103</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公务员医疗补助</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83266.24</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83266.24</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r>
              <w:rPr>
                <w:rFonts w:ascii="宋体" w:eastAsia="宋体" w:hAnsi="宋体" w:cs="宋体" w:hint="default"/>
                <w:i w:val="0"/>
                <w:iCs w:val="0"/>
                <w:color w:val="000000"/>
                <w:kern w:val="0.0"/>
                <w:sz w:val="20"/>
                <w:szCs w:val="20"/>
                <w:u w:val="none"/>
                <w:lang w:val="en-US" w:eastAsia="zh-CN"/>
              </w:rPr>
              <w:t xml:space="preserve">83266.24</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宋体" w:eastAsia="宋体" w:hAnsi="宋体" w:cs="宋体"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7"/>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注：本表反映本年度一般公共预算财政拨款支出情况。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0" w:name="_Toc8838"/>
      <w:r>
        <w:rPr>
          <w:rFonts w:ascii="黑体" w:eastAsia="黑体" w:hAnsi="黑体" w:hint="eastAsia"/>
          <w:sz w:val="30"/>
          <w:szCs w:val="30"/>
          <w:lang w:val="en-US" w:eastAsia="zh-CN"/>
        </w:rPr>
        <w:t xml:space="preserve">七、《一般公共预算财政拨款基本支出决算表》</w:t>
      </w:r>
      <w:bookmarkEnd w:id="10"/>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723"/>
        <w:gridCol w:w="2475"/>
        <w:gridCol w:w="2231"/>
        <w:gridCol w:w="754"/>
        <w:gridCol w:w="2444"/>
        <w:gridCol w:w="2231"/>
        <w:gridCol w:w="797"/>
        <w:gridCol w:w="2401"/>
        <w:gridCol w:w="2232"/>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8627" w:type="dxa"/>
            <w:gridSpan w:val="5"/>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部门</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中国农工民主党天津市委员会</w:t>
            </w:r>
          </w:p>
        </w:tc>
        <w:tc>
          <w:tcPr>
            <w:tcW w:w="2231"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797"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4633" w:type="dxa"/>
            <w:gridSpan w:val="2"/>
            <w:tcBorders>
              <w:top w:val="nil"/>
              <w:left w:val="nil"/>
              <w:bottom w:val="nil"/>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5429" w:type="dxa"/>
            <w:gridSpan w:val="3"/>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人员经费</w:t>
            </w:r>
          </w:p>
        </w:tc>
        <w:tc>
          <w:tcPr>
            <w:tcW w:w="10859" w:type="dxa"/>
            <w:gridSpan w:val="6"/>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公用经费</w:t>
            </w:r>
          </w:p>
        </w:tc>
      </w:tr>
      <w:tr>
        <w:tblPrEx>
          <w:tblW w:w="16288" w:type="dxa"/>
          <w:jc w:val="center"/>
          <w:tblLayout w:type="fixed"/>
          <w:tblCellMar>
            <w:top w:w="0" w:type="dxa"/>
            <w:left w:w="108" w:type="dxa"/>
            <w:bottom w:w="0" w:type="dxa"/>
            <w:right w:w="108" w:type="dxa"/>
          </w:tblCellMar>
          <w:tblLook w:val="0000"/>
        </w:tblPrEx>
        <w:trPr>
          <w:trHeight w:hRule="exact" w:val="850"/>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决算数</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决算数</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232"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决算数</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工资福利支出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9354355.50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302</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商品和服务支出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1006219.10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30704</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国外债务发行费用</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基本工资</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1876813.03</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30201</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办公费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29503.70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310</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资本性支出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30102</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津贴补贴</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1868911.53</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30202</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印刷费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房屋建筑物购建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奖金</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1632978.00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30204</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手续费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2173.92</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办公设备购置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30106</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伙食补助费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30205</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2380.01</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31003</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专用设备购置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30107</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绩效工资</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30206</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电费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33000.00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31005</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基础设施建设</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30108</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机关事业单位基本养老保险缴费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671575.84</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30207</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邮电费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45000.00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31006</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大型修缮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职业年金缴费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335787.92</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30208</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取暖费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31007</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信息网络及软件购置更新</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30110</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职工基本医疗保险缴费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442234.90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物业管理费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4883.80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31008</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物资储备</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公务员医疗补助缴费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83266.24</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30211</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差旅费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土地补偿</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30112</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其他社会保障缴费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8409.00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30212</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因公出国（境）费用</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31010</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安置补助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住房公积金</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2089600.00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30213</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维</w:t>
            </w:r>
            <w:r>
              <w:rPr>
                <w:rFonts w:ascii="宋体" w:eastAsia="宋体" w:hAnsi="宋体" w:cs="宋体" w:hint="eastAsia"/>
                <w:i w:val="0"/>
                <w:iCs w:val="0"/>
                <w:color w:val="000000"/>
                <w:kern w:val="0.0"/>
                <w:sz w:val="20"/>
                <w:szCs w:val="20"/>
                <w:u w:val="none"/>
                <w:lang w:val="en-US" w:eastAsia="zh-CN"/>
              </w:rPr>
              <w:t xml:space="preserve">修</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护</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5000.00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地上附着物和青苗补偿</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30114</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医疗费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30214</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租赁费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拆迁补偿</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30199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其他工资福利支出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344779.04</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30215</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会议费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31013</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公务用车购置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对个人和家庭的补助</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158663.64</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30216</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培训费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其他交通工具购置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离休费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30217</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公务接待费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6309.00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31021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文物和陈列品购置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30302</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退休费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158628.64</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30218</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专用材料费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31022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无形资产购置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退职（役）费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30224</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被装购置费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31099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其他资本性支出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30304</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抚恤金</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30225</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专用燃料费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312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对企业补助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30305</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生活补助</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30226</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劳务费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资本金注入</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30306</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救济费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30227</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委托业务费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31203</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政府投资基金股权投资</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30307</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医疗费补助</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30228</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工会经费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72000.00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31204</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费用补贴</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30308</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助学金</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福利费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340000.00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31205</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利息补贴</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奖励金</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35.00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30231</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公务用车运行维护费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13000.00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31206</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其他资本性补助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30310</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个人农业生产补贴</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30239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其他交通费用</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342263.50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31299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其他对企业补助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30311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代缴社会保险费</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30240</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税金及附加费用</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399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其他支出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30399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其他对个人和家庭的补助</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30299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其他商品和服务支出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110705.17</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39907</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国家赔偿费用支出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307</w:t>
            </w:r>
          </w:p>
        </w:tc>
        <w:tc>
          <w:tcPr>
            <w:tcW w:w="244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债务利息及费用支出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39908</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对民间非营利组织和群众性自治组织补贴</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nil"/>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nil"/>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nil"/>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30701</w:t>
            </w:r>
          </w:p>
        </w:tc>
        <w:tc>
          <w:tcPr>
            <w:tcW w:w="244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国内债务付息</w:t>
            </w:r>
          </w:p>
        </w:tc>
        <w:tc>
          <w:tcPr>
            <w:tcW w:w="2231"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39909</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经常性赠与</w:t>
            </w:r>
          </w:p>
        </w:tc>
        <w:tc>
          <w:tcPr>
            <w:tcW w:w="2232"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nil"/>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nil"/>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nil"/>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30702</w:t>
            </w:r>
          </w:p>
        </w:tc>
        <w:tc>
          <w:tcPr>
            <w:tcW w:w="244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国外债务付息</w:t>
            </w:r>
          </w:p>
        </w:tc>
        <w:tc>
          <w:tcPr>
            <w:tcW w:w="2231"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39910</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资本性赠与</w:t>
            </w:r>
          </w:p>
        </w:tc>
        <w:tc>
          <w:tcPr>
            <w:tcW w:w="2232"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nil"/>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nil"/>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nil"/>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30703</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国内债务发行费用</w:t>
            </w:r>
          </w:p>
        </w:tc>
        <w:tc>
          <w:tcPr>
            <w:tcW w:w="2231"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39999</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其他支出</w:t>
            </w:r>
          </w:p>
        </w:tc>
        <w:tc>
          <w:tcPr>
            <w:tcW w:w="2232"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198" w:type="dxa"/>
            <w:gridSpan w:val="2"/>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人员经费合计</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b/>
                <w:bCs/>
                <w:i w:val="0"/>
                <w:iCs w:val="0"/>
                <w:color w:val="000000"/>
                <w:sz w:val="20"/>
                <w:szCs w:val="20"/>
                <w:u w:val="none"/>
              </w:rPr>
            </w:pPr>
            <w:r>
              <w:rPr>
                <w:rFonts w:ascii="Times New Roman" w:eastAsia="宋体" w:hAnsi="Times New Roman" w:cs="Times New Roman" w:hint="default"/>
                <w:b/>
                <w:bCs/>
                <w:i w:val="0"/>
                <w:iCs w:val="0"/>
                <w:color w:val="000000"/>
                <w:kern w:val="0.0"/>
                <w:sz w:val="20"/>
                <w:szCs w:val="20"/>
                <w:u w:val="none"/>
                <w:lang w:val="en-US" w:eastAsia="zh-CN"/>
              </w:rPr>
              <w:t xml:space="preserve">9513019.14</w:t>
            </w:r>
          </w:p>
        </w:tc>
        <w:tc>
          <w:tcPr>
            <w:tcW w:w="8627" w:type="dxa"/>
            <w:gridSpan w:val="5"/>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公用经费合计</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b/>
                <w:bCs/>
                <w:i w:val="0"/>
                <w:iCs w:val="0"/>
                <w:color w:val="000000"/>
                <w:sz w:val="20"/>
                <w:szCs w:val="20"/>
                <w:u w:val="none"/>
              </w:rPr>
            </w:pPr>
            <w:r>
              <w:rPr>
                <w:rFonts w:ascii="Times New Roman" w:eastAsia="宋体" w:hAnsi="Times New Roman" w:cs="Times New Roman" w:hint="default"/>
                <w:b/>
                <w:bCs/>
                <w:i w:val="0"/>
                <w:iCs w:val="0"/>
                <w:color w:val="000000"/>
                <w:kern w:val="0.0"/>
                <w:sz w:val="20"/>
                <w:szCs w:val="20"/>
                <w:u w:val="none"/>
                <w:lang w:val="en-US" w:eastAsia="zh-CN"/>
              </w:rPr>
              <w:t xml:space="preserve">1006219.10</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9"/>
            <w:tcBorders>
              <w:top w:val="single" w:sz="4" w:space="0" w:color="000000"/>
              <w:left w:val="nil"/>
              <w:bottom w:val="nil"/>
              <w:right w:val="nil"/>
            </w:tcBorders>
            <w:noWrap w:val="1"/>
            <w:vAlign w:val="center"/>
          </w:tcPr>
          <w:p>
            <w:pPr>
              <w:pStyle w:val="普通(网站)"/>
              <w:keepNext w:val="0"/>
              <w:keepLines w:val="0"/>
              <w:widowControl/>
              <w:suppressLineNumbers w:val="0"/>
              <w:snapToGrid w:val="0"/>
              <w:spacing w:before="60" w:beforeAutospacing="0" w:after="60" w:afterAutospacing="0"/>
              <w:ind w:left="0" w:right="0" w:leftChars="0" w:rightChars="0"/>
              <w:jc w:val="left"/>
              <w:rPr>
                <w:rFonts w:ascii="宋体" w:eastAsia="宋体" w:hAnsi="宋体" w:cs="宋体" w:hint="eastAsia"/>
                <w:b/>
                <w:bCs/>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注：本表反映本年度一般公共预算财政拨款支出情况。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1" w:name="_Toc2699"/>
      <w:r>
        <w:rPr>
          <w:rFonts w:ascii="黑体" w:eastAsia="黑体" w:hAnsi="黑体" w:hint="eastAsia"/>
          <w:b/>
          <w:bCs/>
          <w:sz w:val="30"/>
          <w:szCs w:val="30"/>
          <w:lang w:val="en-US" w:eastAsia="zh-CN"/>
        </w:rPr>
        <w:t xml:space="preserve">八、《政府性基金预算财政拨款收入支出决算表》</w:t>
      </w:r>
      <w:bookmarkEnd w:id="11"/>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035"/>
        <w:gridCol w:w="2828"/>
        <w:gridCol w:w="2070"/>
        <w:gridCol w:w="2071"/>
        <w:gridCol w:w="2071"/>
        <w:gridCol w:w="2071"/>
        <w:gridCol w:w="2071"/>
        <w:gridCol w:w="2071"/>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val="567"/>
          <w:tblHeader/>
          <w:jc w:val="center"/>
        </w:trPr>
        <w:tc>
          <w:tcPr>
            <w:tcW w:w="10075" w:type="dxa"/>
            <w:gridSpan w:val="5"/>
            <w:tcBorders>
              <w:top w:val="nil"/>
              <w:left w:val="nil"/>
              <w:bottom w:val="nil"/>
              <w:right w:val="nil"/>
            </w:tcBorders>
            <w:shd w:val="clear" w:color="auto" w:fill="FFFFFF"/>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部门</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中国农工民主党天津市委员会</w:t>
            </w:r>
          </w:p>
        </w:tc>
        <w:tc>
          <w:tcPr>
            <w:tcW w:w="2071" w:type="dxa"/>
            <w:tcBorders>
              <w:top w:val="nil"/>
              <w:left w:val="nil"/>
              <w:bottom w:val="nil"/>
              <w:right w:val="nil"/>
            </w:tcBorders>
            <w:shd w:val="clear" w:color="auto" w:fill="FFFFFF"/>
            <w:vAlign w:val="center"/>
          </w:tcPr>
          <w:p>
            <w:pPr>
              <w:divId w:val="0"/>
              <w:snapToGrid w:val="0"/>
              <w:rPr>
                <w:rFonts w:ascii="宋体" w:eastAsia="宋体" w:hAnsi="宋体" w:cs="宋体" w:hint="eastAsia"/>
                <w:i w:val="0"/>
                <w:iCs w:val="0"/>
                <w:color w:val="000000"/>
                <w:sz w:val="20"/>
                <w:szCs w:val="20"/>
                <w:u w:val="none"/>
              </w:rPr>
            </w:pPr>
          </w:p>
        </w:tc>
        <w:tc>
          <w:tcPr>
            <w:tcW w:w="2071" w:type="dxa"/>
            <w:tcBorders>
              <w:top w:val="nil"/>
              <w:left w:val="nil"/>
              <w:bottom w:val="nil"/>
              <w:right w:val="nil"/>
            </w:tcBorders>
            <w:shd w:val="clear" w:color="auto" w:fill="FFFFFF"/>
            <w:vAlign w:val="center"/>
          </w:tcPr>
          <w:p>
            <w:pPr>
              <w:divId w:val="0"/>
              <w:snapToGrid w:val="0"/>
              <w:rPr>
                <w:rFonts w:ascii="宋体" w:eastAsia="宋体" w:hAnsi="宋体" w:cs="宋体" w:hint="eastAsia"/>
                <w:i w:val="0"/>
                <w:iCs w:val="0"/>
                <w:color w:val="000000"/>
                <w:sz w:val="20"/>
                <w:szCs w:val="20"/>
                <w:u w:val="none"/>
              </w:rPr>
            </w:pPr>
          </w:p>
        </w:tc>
        <w:tc>
          <w:tcPr>
            <w:tcW w:w="2071" w:type="dxa"/>
            <w:tcBorders>
              <w:top w:val="nil"/>
              <w:left w:val="nil"/>
              <w:bottom w:val="nil"/>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3863"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支出功能分类科目</w:t>
            </w:r>
          </w:p>
        </w:tc>
        <w:tc>
          <w:tcPr>
            <w:tcW w:w="2070"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年初结转和结余</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本年收入</w:t>
            </w:r>
          </w:p>
        </w:tc>
        <w:tc>
          <w:tcPr>
            <w:tcW w:w="6213" w:type="dxa"/>
            <w:gridSpan w:val="3"/>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年末结转和结余</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3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828"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070"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小计</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基本支</w:t>
            </w:r>
            <w:r>
              <w:rPr>
                <w:rFonts w:ascii="宋体" w:eastAsia="宋体" w:hAnsi="宋体" w:cs="宋体" w:hint="eastAsia"/>
                <w:i w:val="0"/>
                <w:iCs w:val="0"/>
                <w:color w:val="000000"/>
                <w:kern w:val="0.0"/>
                <w:sz w:val="20"/>
                <w:szCs w:val="20"/>
                <w:u w:val="none"/>
                <w:lang w:val="en-US" w:eastAsia="zh-CN"/>
              </w:rPr>
              <w:t xml:space="preserve">出</w:t>
            </w:r>
            <w:r>
              <w:rPr>
                <w:rFonts w:ascii="宋体" w:eastAsia="宋体" w:hAnsi="宋体" w:cs="宋体" w:hint="eastAsia"/>
                <w:i w:val="0"/>
                <w:iCs w:val="0"/>
                <w:color w:val="000000"/>
                <w:kern w:val="0.0"/>
                <w:sz w:val="20"/>
                <w:szCs w:val="20"/>
                <w:u w:val="none"/>
                <w:lang w:val="en-US" w:eastAsia="zh-CN"/>
              </w:rPr>
              <w:t xml:space="preserve">  </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项目支出</w:t>
            </w: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35"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82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0"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35"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82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0"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tblHeader/>
          <w:jc w:val="center"/>
        </w:trPr>
        <w:tc>
          <w:tcPr>
            <w:tcW w:w="3863"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207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tblHeader/>
          <w:jc w:val="center"/>
        </w:trPr>
        <w:tc>
          <w:tcPr>
            <w:tcW w:w="1035"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p>
        </w:tc>
        <w:tc>
          <w:tcPr>
            <w:tcW w:w="28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p>
        </w:tc>
        <w:tc>
          <w:tcPr>
            <w:tcW w:w="2070"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8"/>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注：本表反映本年度政府性基金预算财政拨款收入、支出及结转和结余情况。</w:t>
            </w:r>
          </w:p>
        </w:tc>
      </w:tr>
    </w:tbl>
    <w:p>
      <w:pPr>
        <w:divId w:val="0"/>
        <w:keepNext w:val="0"/>
        <w:keepLines w:val="0"/>
        <w:widowControl/>
        <w:suppressLineNumbers w:val="0"/>
        <w:snapToGrid w:val="0"/>
        <w:ind w:left="-960" w:firstLine="0" w:leftChars="-400" w:firstLineChars="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中国农工民主党天津市委员会2025年度政府性基金预算财政拨款收入支出决算表为空表。</w:t>
      </w:r>
    </w:p>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2" w:name="_Toc11009"/>
      <w:r>
        <w:rPr>
          <w:rFonts w:ascii="黑体" w:eastAsia="黑体" w:hAnsi="黑体" w:hint="eastAsia"/>
          <w:b/>
          <w:bCs/>
          <w:sz w:val="30"/>
          <w:szCs w:val="30"/>
          <w:lang w:val="en-US" w:eastAsia="zh-CN"/>
        </w:rPr>
        <w:t xml:space="preserve">九、《国有资本经营预算财政拨款收入支出决算表》</w:t>
      </w:r>
      <w:bookmarkEnd w:id="12"/>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059"/>
        <w:gridCol w:w="4663"/>
        <w:gridCol w:w="1761"/>
        <w:gridCol w:w="1761"/>
        <w:gridCol w:w="1761"/>
        <w:gridCol w:w="1761"/>
        <w:gridCol w:w="1761"/>
        <w:gridCol w:w="1761"/>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tblHeader/>
          <w:jc w:val="center"/>
        </w:trPr>
        <w:tc>
          <w:tcPr>
            <w:tcW w:w="9244" w:type="dxa"/>
            <w:gridSpan w:val="4"/>
            <w:tcBorders>
              <w:top w:val="nil"/>
              <w:left w:val="nil"/>
              <w:bottom w:val="nil"/>
              <w:right w:val="nil"/>
            </w:tcBorders>
            <w:noWrap w:val="1"/>
            <w:vAlign w:val="center"/>
          </w:tcPr>
          <w:p>
            <w:pPr>
              <w:divId w:val="0"/>
              <w:snapToGrid w:val="0"/>
              <w:jc w:val="left"/>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部门</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中国农工民主党天津市委员会</w:t>
            </w:r>
          </w:p>
        </w:tc>
        <w:tc>
          <w:tcPr>
            <w:tcW w:w="1761" w:type="dxa"/>
            <w:tcBorders>
              <w:top w:val="nil"/>
              <w:left w:val="nil"/>
              <w:bottom w:val="nil"/>
              <w:right w:val="nil"/>
            </w:tcBorders>
            <w:vAlign w:val="center"/>
          </w:tcPr>
          <w:p>
            <w:pPr>
              <w:divId w:val="0"/>
              <w:snapToGrid w:val="0"/>
              <w:rPr>
                <w:rFonts w:ascii="宋体" w:eastAsia="宋体" w:hAnsi="宋体" w:cs="宋体" w:hint="eastAsia"/>
                <w:i w:val="0"/>
                <w:iCs w:val="0"/>
                <w:color w:val="000000"/>
                <w:sz w:val="20"/>
                <w:szCs w:val="20"/>
                <w:u w:val="none"/>
              </w:rPr>
            </w:pPr>
          </w:p>
        </w:tc>
        <w:tc>
          <w:tcPr>
            <w:tcW w:w="1761" w:type="dxa"/>
            <w:tcBorders>
              <w:top w:val="nil"/>
              <w:left w:val="nil"/>
              <w:bottom w:val="nil"/>
              <w:right w:val="nil"/>
            </w:tcBorders>
            <w:vAlign w:val="center"/>
          </w:tcPr>
          <w:p>
            <w:pPr>
              <w:divId w:val="0"/>
              <w:snapToGrid w:val="0"/>
              <w:rPr>
                <w:rFonts w:ascii="宋体" w:eastAsia="宋体" w:hAnsi="宋体" w:cs="宋体" w:hint="eastAsia"/>
                <w:i w:val="0"/>
                <w:iCs w:val="0"/>
                <w:color w:val="000000"/>
                <w:sz w:val="20"/>
                <w:szCs w:val="20"/>
                <w:u w:val="none"/>
              </w:rPr>
            </w:pPr>
          </w:p>
        </w:tc>
        <w:tc>
          <w:tcPr>
            <w:tcW w:w="1761" w:type="dxa"/>
            <w:tcBorders>
              <w:top w:val="nil"/>
              <w:left w:val="nil"/>
              <w:bottom w:val="nil"/>
              <w:right w:val="nil"/>
            </w:tcBorders>
            <w:vAlign w:val="center"/>
          </w:tcPr>
          <w:p>
            <w:pPr>
              <w:divId w:val="0"/>
              <w:snapToGrid w:val="0"/>
              <w:rPr>
                <w:rFonts w:ascii="宋体" w:eastAsia="宋体" w:hAnsi="宋体" w:cs="宋体" w:hint="eastAsia"/>
                <w:i w:val="0"/>
                <w:iCs w:val="0"/>
                <w:color w:val="000000"/>
                <w:sz w:val="20"/>
                <w:szCs w:val="20"/>
                <w:u w:val="none"/>
              </w:rPr>
            </w:pPr>
          </w:p>
        </w:tc>
        <w:tc>
          <w:tcPr>
            <w:tcW w:w="1761" w:type="dxa"/>
            <w:tcBorders>
              <w:top w:val="nil"/>
              <w:left w:val="nil"/>
              <w:bottom w:val="nil"/>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5722"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Style w:val="font11"/>
                <w:sz w:val="20"/>
                <w:szCs w:val="20"/>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年初结转和结余</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本年收入</w:t>
            </w:r>
          </w:p>
        </w:tc>
        <w:tc>
          <w:tcPr>
            <w:tcW w:w="5283" w:type="dxa"/>
            <w:gridSpan w:val="3"/>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年末结转和结余</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59"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4663"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基本支</w:t>
            </w:r>
            <w:r>
              <w:rPr>
                <w:rFonts w:ascii="宋体" w:eastAsia="宋体" w:hAnsi="宋体" w:cs="宋体" w:hint="eastAsia"/>
                <w:i w:val="0"/>
                <w:iCs w:val="0"/>
                <w:color w:val="000000"/>
                <w:kern w:val="0.0"/>
                <w:sz w:val="20"/>
                <w:szCs w:val="20"/>
                <w:u w:val="none"/>
                <w:lang w:val="en-US" w:eastAsia="zh-CN"/>
              </w:rPr>
              <w:t xml:space="preserve">出</w:t>
            </w:r>
            <w:r>
              <w:rPr>
                <w:rFonts w:ascii="宋体" w:eastAsia="宋体" w:hAnsi="宋体" w:cs="宋体" w:hint="eastAsia"/>
                <w:i w:val="0"/>
                <w:iCs w:val="0"/>
                <w:color w:val="000000"/>
                <w:kern w:val="0.0"/>
                <w:sz w:val="20"/>
                <w:szCs w:val="20"/>
                <w:u w:val="none"/>
                <w:lang w:val="en-US" w:eastAsia="zh-CN"/>
              </w:rPr>
              <w:t xml:space="preserve">  </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项目支出</w:t>
            </w: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59"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4663"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59"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4663"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tblHeader/>
          <w:jc w:val="center"/>
        </w:trPr>
        <w:tc>
          <w:tcPr>
            <w:tcW w:w="5722"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auto"/>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auto"/>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auto"/>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auto"/>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auto"/>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auto"/>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tblHeader/>
          <w:jc w:val="center"/>
        </w:trPr>
        <w:tc>
          <w:tcPr>
            <w:tcW w:w="105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p>
        </w:tc>
        <w:tc>
          <w:tcPr>
            <w:tcW w:w="466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6288" w:type="dxa"/>
            <w:gridSpan w:val="8"/>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注：本表反映本年度国有资本</w:t>
            </w:r>
            <w:r>
              <w:rPr>
                <w:rFonts w:ascii="宋体" w:eastAsia="宋体" w:hAnsi="宋体" w:cs="宋体" w:hint="eastAsia"/>
                <w:b w:val="0"/>
                <w:bCs w:val="0"/>
                <w:i w:val="0"/>
                <w:iCs w:val="0"/>
                <w:color w:val="000000"/>
                <w:kern w:val="0.0"/>
                <w:sz w:val="20"/>
                <w:szCs w:val="20"/>
                <w:u w:val="none"/>
                <w:lang w:val="en-US" w:eastAsia="zh-CN"/>
              </w:rPr>
              <w:t xml:space="preserve">经营预算财政拨款收入、支</w:t>
            </w:r>
            <w:r>
              <w:rPr>
                <w:rFonts w:ascii="宋体" w:eastAsia="宋体" w:hAnsi="宋体" w:cs="宋体" w:hint="eastAsia"/>
                <w:i w:val="0"/>
                <w:iCs w:val="0"/>
                <w:color w:val="000000"/>
                <w:kern w:val="0.0"/>
                <w:sz w:val="20"/>
                <w:szCs w:val="20"/>
                <w:u w:val="none"/>
                <w:lang w:val="en-US" w:eastAsia="zh-CN"/>
              </w:rPr>
              <w:t xml:space="preserve">出及结转和结余情况。</w:t>
            </w:r>
          </w:p>
        </w:tc>
      </w:tr>
    </w:tbl>
    <w:p>
      <w:pPr>
        <w:divId w:val="0"/>
        <w:keepNext w:val="0"/>
        <w:keepLines w:val="0"/>
        <w:widowControl/>
        <w:suppressLineNumbers w:val="0"/>
        <w:snapToGrid w:val="0"/>
        <w:ind w:left="-960" w:firstLine="0" w:leftChars="-400" w:firstLineChars="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中国农工民主党天津市委员会2025年度国有资本经营预算财政拨款收入支出决算表为空表。</w:t>
      </w:r>
    </w:p>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3" w:name="_Toc25214"/>
      <w:r>
        <w:rPr>
          <w:rFonts w:ascii="黑体" w:eastAsia="黑体" w:hAnsi="黑体" w:hint="eastAsia"/>
          <w:b/>
          <w:bCs/>
          <w:sz w:val="30"/>
          <w:szCs w:val="30"/>
          <w:lang w:val="en-US" w:eastAsia="zh-CN"/>
        </w:rPr>
        <w:t xml:space="preserve">十、《财政拨款“三公”经费支出决算表》</w:t>
      </w:r>
      <w:bookmarkEnd w:id="13"/>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2668"/>
        <w:gridCol w:w="3018"/>
        <w:gridCol w:w="2668"/>
        <w:gridCol w:w="2668"/>
        <w:gridCol w:w="2669"/>
        <w:gridCol w:w="2597"/>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9448" w:type="dxa"/>
            <w:gridSpan w:val="4"/>
            <w:tcBorders>
              <w:bottom w:val="single" w:sz="4" w:space="0" w:color="auto"/>
              <w:tl2br w:val="nil"/>
              <w:tr2bl w:val="nil"/>
            </w:tcBorders>
            <w:shd w:val="clear" w:color="auto" w:fill="FFFFFF"/>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部门</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中国农工民主党天津市委员会</w:t>
            </w:r>
          </w:p>
        </w:tc>
        <w:tc>
          <w:tcPr>
            <w:tcW w:w="2299" w:type="dxa"/>
            <w:tcBorders>
              <w:bottom w:val="single" w:sz="4" w:space="0" w:color="auto"/>
              <w:tl2br w:val="nil"/>
              <w:tr2bl w:val="nil"/>
            </w:tcBorders>
            <w:shd w:val="clear" w:color="auto" w:fill="FFFFFF"/>
            <w:vAlign w:val="center"/>
          </w:tcPr>
          <w:p>
            <w:pPr>
              <w:divId w:val="0"/>
              <w:snapToGrid w:val="0"/>
              <w:rPr>
                <w:rFonts w:ascii="宋体" w:eastAsia="宋体" w:hAnsi="宋体" w:cs="宋体" w:hint="eastAsia"/>
                <w:i w:val="0"/>
                <w:iCs w:val="0"/>
                <w:color w:val="000000"/>
                <w:sz w:val="20"/>
                <w:szCs w:val="20"/>
                <w:u w:val="none"/>
              </w:rPr>
            </w:pPr>
          </w:p>
        </w:tc>
        <w:tc>
          <w:tcPr>
            <w:tcW w:w="2299" w:type="dxa"/>
            <w:tcBorders>
              <w:bottom w:val="single" w:sz="4" w:space="0" w:color="auto"/>
              <w:tl2br w:val="nil"/>
              <w:tr2bl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2362" w:type="dxa"/>
            <w:vMerge w:val="restart"/>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2362" w:type="dxa"/>
            <w:vMerge w:val="restart"/>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因公出国（境）费</w:t>
            </w:r>
          </w:p>
        </w:tc>
        <w:tc>
          <w:tcPr>
            <w:tcW w:w="7087" w:type="dxa"/>
            <w:gridSpan w:val="3"/>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公务用车购置及运行维护费</w:t>
            </w:r>
          </w:p>
        </w:tc>
        <w:tc>
          <w:tcPr>
            <w:tcW w:w="2299" w:type="dxa"/>
            <w:vMerge w:val="restart"/>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公务接待费</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2362" w:type="dxa"/>
            <w:vMerge/>
            <w:tcBorders>
              <w:top w:val="single" w:sz="4" w:space="0" w:color="auto"/>
              <w:left w:val="single" w:sz="4" w:space="0" w:color="auto"/>
              <w:bottom w:val="single" w:sz="4" w:space="0" w:color="auto"/>
              <w:right w:val="single" w:sz="4" w:space="0" w:color="auto"/>
            </w:tcBorders>
            <w:vAlign w:val="center"/>
          </w:tcPr>
          <w:p>
            <w:pPr>
              <w:divId w:val="0"/>
              <w:snapToGrid w:val="0"/>
              <w:jc w:val="center"/>
              <w:rPr>
                <w:rFonts w:ascii="宋体" w:eastAsia="宋体" w:hAnsi="宋体" w:cs="宋体" w:hint="eastAsia"/>
                <w:i w:val="0"/>
                <w:iCs w:val="0"/>
                <w:color w:val="000000"/>
                <w:sz w:val="20"/>
                <w:szCs w:val="20"/>
                <w:u w:val="none"/>
              </w:rPr>
            </w:pPr>
          </w:p>
        </w:tc>
        <w:tc>
          <w:tcPr>
            <w:tcW w:w="2362" w:type="dxa"/>
            <w:vMerge/>
            <w:tcBorders>
              <w:top w:val="single" w:sz="4" w:space="0" w:color="auto"/>
              <w:left w:val="single" w:sz="4" w:space="0" w:color="auto"/>
              <w:bottom w:val="single" w:sz="4" w:space="0" w:color="auto"/>
              <w:right w:val="single" w:sz="4" w:space="0" w:color="auto"/>
            </w:tcBorders>
            <w:vAlign w:val="center"/>
          </w:tcPr>
          <w:p>
            <w:pPr>
              <w:divId w:val="0"/>
              <w:snapToGrid w:val="0"/>
              <w:jc w:val="center"/>
              <w:rPr>
                <w:rFonts w:ascii="宋体" w:eastAsia="宋体" w:hAnsi="宋体" w:cs="宋体" w:hint="eastAsia"/>
                <w:i w:val="0"/>
                <w:iCs w:val="0"/>
                <w:color w:val="000000"/>
                <w:sz w:val="20"/>
                <w:szCs w:val="20"/>
                <w:u w:val="none"/>
              </w:rPr>
            </w:pPr>
          </w:p>
        </w:tc>
        <w:tc>
          <w:tcPr>
            <w:tcW w:w="2362"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小计</w:t>
            </w:r>
          </w:p>
        </w:tc>
        <w:tc>
          <w:tcPr>
            <w:tcW w:w="2362"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公务用车</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购置费</w:t>
            </w: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公务用车</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运行维护费</w:t>
            </w:r>
          </w:p>
        </w:tc>
        <w:tc>
          <w:tcPr>
            <w:tcW w:w="2299" w:type="dxa"/>
            <w:vMerge/>
            <w:tcBorders>
              <w:top w:val="single" w:sz="4" w:space="0" w:color="auto"/>
              <w:left w:val="single" w:sz="4" w:space="0" w:color="auto"/>
              <w:bottom w:val="single" w:sz="4" w:space="0" w:color="auto"/>
              <w:right w:val="single" w:sz="4" w:space="0" w:color="auto"/>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2298"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19309.00</w:t>
            </w:r>
          </w:p>
        </w:tc>
        <w:tc>
          <w:tcPr>
            <w:tcW w:w="2672"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13000.00</w:t>
            </w:r>
          </w:p>
        </w:tc>
        <w:tc>
          <w:tcPr>
            <w:tcW w:w="2301"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13000.00</w:t>
            </w: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6309.00</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4168" w:type="dxa"/>
            <w:gridSpan w:val="6"/>
            <w:tcBorders>
              <w:top w:val="single" w:sz="4" w:space="0" w:color="auto"/>
              <w:tl2br w:val="nil"/>
              <w:tr2bl w:val="nil"/>
            </w:tcBorders>
            <w:vAlign w:val="center"/>
          </w:tcPr>
          <w:p>
            <w:pPr>
              <w:divId w:val="0"/>
              <w:snapToGrid w:val="0"/>
              <w:jc w:val="left"/>
              <w:rPr>
                <w:rFonts w:ascii="等线" w:eastAsia="等线" w:hAnsi="等线" w:cs="等线"/>
                <w:b w:val="0"/>
                <w:bCs w:val="0"/>
                <w:i w:val="0"/>
                <w:iCs w:val="0"/>
                <w:color w:val="333333"/>
                <w:spacing w:val="0"/>
                <w:w w:val="100"/>
                <w:sz w:val="20"/>
                <w:szCs w:val="20"/>
                <w:vertAlign w:val="baseline"/>
              </w:rPr>
            </w:pPr>
            <w:r>
              <w:rPr>
                <w:rFonts w:ascii="宋体" w:eastAsia="宋体" w:hAnsi="宋体" w:cs="宋体" w:hint="eastAsia"/>
                <w:i w:val="0"/>
                <w:iCs w:val="0"/>
                <w:color w:val="000000"/>
                <w:kern w:val="0.0"/>
                <w:sz w:val="20"/>
                <w:szCs w:val="20"/>
                <w:u w:val="none"/>
                <w:lang w:val="en-US" w:eastAsia="zh-CN"/>
              </w:rPr>
              <w:t xml:space="preserve">注：本表反映本年度一般公共预算和政府性基金预</w:t>
            </w:r>
            <w:r>
              <w:rPr>
                <w:rFonts w:ascii="宋体" w:eastAsia="宋体" w:hAnsi="宋体" w:cs="宋体" w:hint="eastAsia"/>
                <w:i w:val="0"/>
                <w:iCs w:val="0"/>
                <w:color w:val="000000"/>
                <w:kern w:val="0.0"/>
                <w:sz w:val="20"/>
                <w:szCs w:val="20"/>
                <w:u w:val="none"/>
                <w:lang w:val="en-US" w:eastAsia="zh-CN"/>
              </w:rPr>
              <w:t xml:space="preserve">算</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三</w:t>
            </w:r>
            <w:r>
              <w:rPr>
                <w:rFonts w:ascii="宋体" w:eastAsia="宋体" w:hAnsi="宋体" w:cs="宋体" w:hint="eastAsia"/>
                <w:i w:val="0"/>
                <w:iCs w:val="0"/>
                <w:color w:val="000000"/>
                <w:kern w:val="0.0"/>
                <w:sz w:val="20"/>
                <w:szCs w:val="20"/>
                <w:u w:val="none"/>
                <w:lang w:val="en-US" w:eastAsia="zh-CN"/>
              </w:rPr>
              <w:t xml:space="preserve">公</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经费支出决算情况。</w:t>
            </w:r>
          </w:p>
        </w:tc>
      </w:tr>
    </w:tbl>
    <w:p>
      <w:pPr>
        <w:pStyle w:val="标题2"/>
        <w:wordWrap w:val="0"/>
        <w:spacing w:before="0" w:after="0" w:line="800" w:lineRule="exact"/>
        <w:ind w:firstLine="600" w:firstLineChars="200"/>
        <w:rPr>
          <w:rFonts w:ascii="黑体" w:eastAsia="黑体" w:hAnsi="黑体" w:hint="eastAsia"/>
          <w:b w:val="0"/>
          <w:sz w:val="30"/>
          <w:szCs w:val="30"/>
          <w:highlight w:val="none"/>
        </w:rPr>
      </w:pPr>
      <w:r>
        <w:rPr>
          <w:rFonts w:ascii="黑体" w:eastAsia="黑体" w:hAnsi="仿宋" w:hint="eastAsia"/>
          <w:sz w:val="21"/>
          <w:szCs w:val="21"/>
          <w:lang w:val="en-US" w:eastAsia="zh-CN"/>
        </w:rPr>
        <w:br w:type="page"/>
      </w:r>
      <w:bookmarkStart w:id="14" w:name="_Toc18972"/>
      <w:r>
        <w:rPr>
          <w:rFonts w:ascii="黑体" w:eastAsia="黑体" w:hAnsi="黑体" w:hint="eastAsia"/>
          <w:b/>
          <w:bCs/>
          <w:sz w:val="30"/>
          <w:szCs w:val="30"/>
          <w:lang w:val="en-US" w:eastAsia="zh-CN"/>
        </w:rPr>
        <w:t xml:space="preserve">十一、《项目支出决算表》</w:t>
      </w:r>
      <w:bookmarkEnd w:id="14"/>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131"/>
        <w:gridCol w:w="2838"/>
        <w:gridCol w:w="2053"/>
        <w:gridCol w:w="2053"/>
        <w:gridCol w:w="2053"/>
        <w:gridCol w:w="2053"/>
        <w:gridCol w:w="2053"/>
        <w:gridCol w:w="2054"/>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val="567"/>
          <w:jc w:val="center"/>
        </w:trPr>
        <w:tc>
          <w:tcPr>
            <w:tcW w:w="8075" w:type="dxa"/>
            <w:gridSpan w:val="4"/>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部门</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中国农工民主党天津市委员会</w:t>
            </w:r>
          </w:p>
        </w:tc>
        <w:tc>
          <w:tcPr>
            <w:tcW w:w="2053"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2053"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4107" w:type="dxa"/>
            <w:gridSpan w:val="2"/>
            <w:tcBorders>
              <w:top w:val="nil"/>
              <w:left w:val="nil"/>
              <w:bottom w:val="nil"/>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131" w:type="dxa"/>
            <w:vMerge w:val="restart"/>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838" w:type="dxa"/>
            <w:vMerge w:val="restart"/>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2319" w:type="dxa"/>
            <w:gridSpan w:val="6"/>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年</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支</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出</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131" w:type="dxa"/>
            <w:vMerge/>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center"/>
              <w:rPr>
                <w:rFonts w:ascii="宋体" w:eastAsia="宋体" w:hAnsi="宋体" w:cs="宋体" w:hint="eastAsia"/>
                <w:i w:val="0"/>
                <w:iCs w:val="0"/>
                <w:color w:val="000000"/>
                <w:sz w:val="20"/>
                <w:szCs w:val="20"/>
                <w:u w:val="none"/>
              </w:rPr>
            </w:pPr>
          </w:p>
        </w:tc>
        <w:tc>
          <w:tcPr>
            <w:tcW w:w="2838" w:type="dxa"/>
            <w:vMerge/>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center"/>
              <w:rPr>
                <w:rFonts w:ascii="宋体" w:eastAsia="宋体" w:hAnsi="宋体" w:cs="宋体" w:hint="eastAsia"/>
                <w:i w:val="0"/>
                <w:iCs w:val="0"/>
                <w:color w:val="000000"/>
                <w:sz w:val="20"/>
                <w:szCs w:val="20"/>
                <w:u w:val="none"/>
              </w:rPr>
            </w:pP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计</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一般公共</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预算</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政府性基金</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预算</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国有资本</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经营预算</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财政专户</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管理资金</w:t>
            </w:r>
          </w:p>
        </w:tc>
        <w:tc>
          <w:tcPr>
            <w:tcW w:w="20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单位资金</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969"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计</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highlight w:val="none"/>
                <w:u w:val="none"/>
                <w:lang w:val="en-US" w:eastAsia="zh-CN"/>
              </w:rPr>
              <w:t xml:space="preserve">1446506.80</w:t>
            </w: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highlight w:val="none"/>
                <w:u w:val="none"/>
                <w:lang w:val="en-US" w:eastAsia="zh-CN"/>
              </w:rPr>
              <w:t xml:space="preserve">1446506.80</w:t>
            </w: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0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一般公共服务支出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1446506.80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1446506.80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20128</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民主党派及工商联事务</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1446506.80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1446506.80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2012802</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一般行政管理事务</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50000.00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50000.00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2012804</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参政议政</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728394.80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728394.80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2012899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其他民主党派及工商联事务支出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668112.00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668112.00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6288" w:type="dxa"/>
            <w:gridSpan w:val="8"/>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注：本表反映本年度项目支出决算情况，其中支出数包括当年预算资金和以前年度结转资金安排的合计实际支出。</w:t>
            </w:r>
          </w:p>
        </w:tc>
      </w:tr>
    </w:tbl>
    <w:p>
      <w:pPr>
        <w:sectPr>
          <w:footerReference w:type="default" r:id="rId7"/>
          <w:pgSz w:w="16838" w:h="11906" w:orient="landscape"/>
          <w:pgMar w:top="1800" w:right="1440" w:bottom="1800" w:left="144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textDirection w:val="lrTb"/>
          <w:docGrid w:type="lines" w:linePitch="312" w:charSpace="0"/>
        </w:sectPr>
      </w:pPr>
    </w:p>
    <w:p>
      <w:pPr>
        <w:pStyle w:val="标题1"/>
        <w:wordWrap w:val="0"/>
        <w:spacing w:before="0" w:after="0" w:line="600" w:lineRule="exact"/>
        <w:jc w:val="center"/>
        <w:rPr>
          <w:rFonts w:ascii="方正小标宋简体" w:eastAsia="方正小标宋简体" w:hAnsi="方正小标宋简体" w:cs="方正小标宋简体"/>
          <w:b w:val="0"/>
          <w:sz w:val="44"/>
          <w:szCs w:val="44"/>
          <w:highlight w:val="none"/>
        </w:rPr>
      </w:pPr>
      <w:bookmarkStart w:id="15" w:name="_Toc7922"/>
      <w:r>
        <w:rPr>
          <w:rFonts w:ascii="方正小标宋简体" w:eastAsia="方正小标宋简体" w:hAnsi="方正小标宋简体" w:cs="方正小标宋简体" w:hint="eastAsia"/>
          <w:b w:val="0"/>
          <w:bCs w:val="0"/>
          <w:lang w:val="en-US" w:eastAsia="zh-CN"/>
        </w:rPr>
        <w:t xml:space="preserve">第三部分  2025年度部门决算情况说明</w:t>
      </w:r>
      <w:bookmarkEnd w:id="15"/>
    </w:p>
    <w:p>
      <w:pPr>
        <w:divId w:val="0"/>
        <w:spacing w:line="600" w:lineRule="exact"/>
        <w:ind w:firstLine="600" w:firstLineChars="200"/>
        <w:rPr>
          <w:rFonts w:ascii="黑体" w:eastAsia="黑体" w:hint="eastAsia"/>
          <w:sz w:val="30"/>
          <w:szCs w:val="30"/>
          <w:highlight w:val="none"/>
        </w:rPr>
      </w:pPr>
    </w:p>
    <w:p>
      <w:pPr>
        <w:pStyle w:val="标题2"/>
        <w:wordWrap w:val="0"/>
        <w:spacing w:before="0" w:after="0" w:line="600" w:lineRule="exact"/>
        <w:ind w:firstLine="600" w:firstLineChars="200"/>
        <w:rPr>
          <w:rFonts w:ascii="黑体" w:eastAsia="黑体" w:hAnsi="黑体" w:cs="方正仿宋_GB2312" w:hint="eastAsia"/>
          <w:bCs w:val="0"/>
          <w:sz w:val="30"/>
          <w:szCs w:val="30"/>
          <w:lang w:val="en-US" w:eastAsia="zh-CN"/>
        </w:rPr>
      </w:pPr>
      <w:bookmarkStart w:id="16" w:name="_Toc7052"/>
      <w:r>
        <w:rPr>
          <w:rFonts w:ascii="黑体" w:eastAsia="黑体" w:hAnsi="黑体" w:cs="方正仿宋_GB2312" w:hint="eastAsia"/>
          <w:bCs w:val="0"/>
          <w:sz w:val="30"/>
          <w:szCs w:val="30"/>
          <w:lang w:val="en-US" w:eastAsia="zh-CN"/>
        </w:rPr>
        <w:t xml:space="preserve">一、收入支出决算总体情况说明</w:t>
      </w:r>
      <w:bookmarkEnd w:id="16"/>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中国农工民主党天津市委员会</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年度收入、支出决算总</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11,990,191.78</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年度相比，收、支总计</w:t>
      </w:r>
      <w:r>
        <w:rPr>
          <w:rFonts w:eastAsia="仿宋_GB2312" w:hint="eastAsia"/>
          <w:sz w:val="30"/>
          <w:szCs w:val="30"/>
          <w:highlight w:val="none"/>
          <w:lang w:val="en-US" w:eastAsia="zh-CN"/>
        </w:rPr>
        <w:t xml:space="preserve">各</w:t>
      </w:r>
      <w:r>
        <w:rPr>
          <w:rFonts w:eastAsia="仿宋_GB2312" w:hint="eastAsia"/>
          <w:sz w:val="30"/>
          <w:szCs w:val="30"/>
          <w:highlight w:val="none"/>
          <w:lang w:val="en-US" w:eastAsia="zh-CN"/>
        </w:rPr>
        <w:t xml:space="preserve">增加941,266.13元，增长8.52%</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人员经费增加和年内两名在职干部病故，相应增加抚恤金支出</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收入包括：</w:t>
      </w:r>
      <w:r>
        <w:rPr>
          <w:rFonts w:eastAsia="仿宋_GB2312" w:hint="eastAsia"/>
          <w:sz w:val="30"/>
          <w:szCs w:val="30"/>
          <w:highlight w:val="none"/>
          <w:lang w:val="en-US" w:eastAsia="zh-CN"/>
        </w:rPr>
        <w:t xml:space="preserve">一般公共预算财政拨款收入11,965,619.18元、其他收入20,000.00元</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bookmarkStart w:id="17" w:name="_Toc6621"/>
      <w:r>
        <w:rPr>
          <w:rFonts w:eastAsia="仿宋_GB2312" w:hint="eastAsia"/>
          <w:sz w:val="30"/>
          <w:szCs w:val="30"/>
          <w:highlight w:val="none"/>
          <w:lang w:val="en-US" w:eastAsia="zh-CN"/>
        </w:rPr>
        <w:t xml:space="preserve">支出包括：</w:t>
      </w:r>
      <w:r>
        <w:rPr>
          <w:rFonts w:eastAsia="仿宋_GB2312" w:hint="eastAsia"/>
          <w:sz w:val="30"/>
          <w:szCs w:val="30"/>
          <w:highlight w:val="none"/>
          <w:lang w:val="en-US" w:eastAsia="zh-CN"/>
        </w:rPr>
        <w:t xml:space="preserve">一般公共服务支出10,432,880.14元、社会保障和就业支出1,007,363.76元、卫生健康支出525,501.14元、其他支出20,000.00元</w:t>
      </w:r>
      <w:r>
        <w:rPr>
          <w:rFonts w:eastAsia="仿宋_GB2312" w:hint="eastAsia"/>
          <w:sz w:val="30"/>
          <w:szCs w:val="30"/>
          <w:highlight w:val="none"/>
          <w:lang w:val="en-US" w:eastAsia="zh-CN"/>
        </w:rPr>
        <w:t xml:space="preserve">。</w:t>
      </w:r>
    </w:p>
    <w:p>
      <w:pPr>
        <w:pStyle w:val="标题2"/>
        <w:wordWrap w:val="0"/>
        <w:spacing w:before="0" w:after="0" w:line="600" w:lineRule="exact"/>
        <w:ind w:firstLine="600" w:firstLineChars="200"/>
        <w:rPr>
          <w:rFonts w:ascii="黑体" w:eastAsia="黑体" w:hAnsi="黑体" w:cs="方正仿宋_GB2312" w:hint="eastAsia"/>
          <w:bCs w:val="0"/>
          <w:sz w:val="30"/>
          <w:szCs w:val="30"/>
          <w:lang w:val="en-US" w:eastAsia="zh-CN"/>
        </w:rPr>
      </w:pPr>
      <w:r>
        <w:rPr>
          <w:rFonts w:ascii="黑体" w:eastAsia="黑体" w:hAnsi="黑体" w:cs="方正仿宋_GB2312" w:hint="eastAsia"/>
          <w:bCs w:val="0"/>
          <w:sz w:val="30"/>
          <w:szCs w:val="30"/>
          <w:lang w:val="en-US" w:eastAsia="zh-CN"/>
        </w:rPr>
        <w:t xml:space="preserve">二、收入决算情况说明</w:t>
      </w:r>
      <w:bookmarkEnd w:id="17"/>
    </w:p>
    <w:p>
      <w:pPr>
        <w:divId w:val="0"/>
        <w:spacing w:line="600" w:lineRule="exact"/>
        <w:ind w:firstLine="600"/>
        <w:rPr>
          <w:rFonts w:eastAsia="仿宋_GB2312" w:hint="eastAsia"/>
          <w:sz w:val="30"/>
          <w:szCs w:val="30"/>
          <w:highlight w:val="yellow"/>
          <w:lang w:val="en-US" w:eastAsia="zh-CN"/>
        </w:rPr>
      </w:pPr>
      <w:r>
        <w:rPr>
          <w:rFonts w:eastAsia="仿宋_GB2312" w:hint="eastAsia"/>
          <w:sz w:val="30"/>
          <w:szCs w:val="30"/>
          <w:highlight w:val="none"/>
          <w:lang w:val="en-US" w:eastAsia="zh-CN"/>
        </w:rPr>
        <w:t xml:space="preserve">中国农工民主党天津市委员会</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年度本年收入合</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11,985,619.18</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增加936,693.53元，</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人员经费增加和年内两名在职干部病故，相应增加抚恤金支出</w:t>
      </w:r>
      <w:r>
        <w:rPr>
          <w:rFonts w:eastAsia="仿宋_GB2312" w:hint="eastAsia"/>
          <w:sz w:val="30"/>
          <w:szCs w:val="30"/>
          <w:highlight w:val="none"/>
          <w:lang w:val="en-US" w:eastAsia="zh-CN"/>
        </w:rPr>
        <w:t xml:space="preserve">。其中：</w:t>
      </w:r>
      <w:r>
        <w:rPr>
          <w:rFonts w:eastAsia="仿宋_GB2312" w:hint="eastAsia"/>
          <w:sz w:val="30"/>
          <w:szCs w:val="30"/>
          <w:highlight w:val="none"/>
          <w:lang w:val="en-US" w:eastAsia="zh-CN"/>
        </w:rPr>
        <w:t xml:space="preserve">一般公共预算财政拨款收入11,965,619.18元，占99.83%；其他收入20,000.00元，占0.17%</w:t>
      </w:r>
      <w:r>
        <w:rPr>
          <w:rFonts w:eastAsia="仿宋_GB2312" w:hint="eastAsia"/>
          <w:sz w:val="30"/>
          <w:szCs w:val="30"/>
          <w:highlight w:val="none"/>
          <w:lang w:val="en-US" w:eastAsia="zh-CN"/>
        </w:rPr>
        <w:t xml:space="preserve">。</w:t>
      </w:r>
    </w:p>
    <w:p>
      <w:pPr>
        <w:pStyle w:val="标题2"/>
        <w:pageBreakBefore w:val="0"/>
        <w:kinsoku/>
        <w:wordWrap/>
        <w:overflowPunct/>
        <w:topLinePunct w:val="0"/>
        <w:autoSpaceDE/>
        <w:autoSpaceDN/>
        <w:bidi w:val="0"/>
        <w:snapToGrid/>
        <w:spacing w:before="0" w:after="0" w:line="600" w:lineRule="exact"/>
        <w:ind w:firstLine="600" w:firstLineChars="200"/>
        <w:outlineLvl w:val="0"/>
        <w:rPr>
          <w:rFonts w:ascii="黑体" w:eastAsia="黑体" w:hAnsi="黑体" w:cs="方正仿宋_GB2312" w:hint="eastAsia"/>
          <w:bCs w:val="0"/>
          <w:sz w:val="30"/>
          <w:szCs w:val="30"/>
          <w:highlight w:val="none"/>
          <w:u w:val="none"/>
          <w:lang w:val="en-US" w:eastAsia="zh-CN"/>
        </w:rPr>
      </w:pPr>
      <w:bookmarkStart w:id="18" w:name="_Toc21049"/>
      <w:r>
        <w:rPr>
          <w:rFonts w:ascii="黑体" w:eastAsia="黑体" w:hAnsi="黑体" w:cs="方正仿宋_GB2312" w:hint="eastAsia"/>
          <w:bCs w:val="0"/>
          <w:sz w:val="30"/>
          <w:szCs w:val="30"/>
          <w:highlight w:val="none"/>
          <w:u w:val="none"/>
          <w:lang w:val="en-US" w:eastAsia="zh-CN"/>
        </w:rPr>
        <w:t xml:space="preserve">三、支出决算情况说明</w:t>
      </w:r>
      <w:bookmarkEnd w:id="18"/>
    </w:p>
    <w:p>
      <w:pPr>
        <w:divId w:val="0"/>
        <w:spacing w:line="600" w:lineRule="exact"/>
        <w:ind w:firstLine="600" w:firstLineChars="200"/>
        <w:rPr>
          <w:rFonts w:eastAsia="仿宋_GB2312" w:hint="eastAsia"/>
          <w:sz w:val="30"/>
          <w:szCs w:val="30"/>
          <w:highlight w:val="yellow"/>
          <w:lang w:val="en-US" w:eastAsia="zh-CN"/>
        </w:rPr>
      </w:pPr>
      <w:r>
        <w:rPr>
          <w:rFonts w:eastAsia="仿宋_GB2312" w:hint="eastAsia"/>
          <w:sz w:val="30"/>
          <w:szCs w:val="30"/>
          <w:highlight w:val="none"/>
          <w:lang w:val="en-US" w:eastAsia="zh-CN"/>
        </w:rPr>
        <w:t xml:space="preserve">中国农工民主党天津市委员会</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年度本年支出合</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11,985,745.04</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增加937,167.87元，</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一是人员经费增加；二是年内两名在职干部病故增加抚恤金支出</w:t>
      </w:r>
      <w:r>
        <w:rPr>
          <w:rFonts w:eastAsia="仿宋_GB2312" w:hint="eastAsia"/>
          <w:sz w:val="30"/>
          <w:szCs w:val="30"/>
          <w:highlight w:val="none"/>
          <w:lang w:val="en-US" w:eastAsia="zh-CN"/>
        </w:rPr>
        <w:t xml:space="preserve">。其中：</w:t>
      </w:r>
      <w:r>
        <w:rPr>
          <w:rFonts w:eastAsia="仿宋_GB2312" w:hint="eastAsia"/>
          <w:sz w:val="30"/>
          <w:szCs w:val="30"/>
          <w:highlight w:val="none"/>
        </w:rPr>
        <w:t xml:space="preserve">基本支出10,539,238.24元，占87.93%；项目支出1,446,506.80元，占12.07%</w:t>
      </w:r>
      <w:r>
        <w:rPr>
          <w:rFonts w:eastAsia="仿宋_GB2312" w:hint="eastAsia"/>
          <w:sz w:val="30"/>
          <w:szCs w:val="30"/>
          <w:highlight w:val="none"/>
        </w:rPr>
        <w:t xml:space="preserve">。</w:t>
      </w:r>
    </w:p>
    <w:p>
      <w:pPr>
        <w:pStyle w:val="标题2"/>
        <w:pageBreakBefore w:val="0"/>
        <w:kinsoku/>
        <w:wordWrap/>
        <w:overflowPunct/>
        <w:topLinePunct w:val="0"/>
        <w:autoSpaceDE/>
        <w:autoSpaceDN/>
        <w:bidi w:val="0"/>
        <w:snapToGrid/>
        <w:spacing w:before="0" w:after="0" w:line="600" w:lineRule="exact"/>
        <w:ind w:firstLine="600" w:firstLineChars="200"/>
        <w:outlineLvl w:val="0"/>
        <w:rPr>
          <w:rFonts w:ascii="黑体" w:eastAsia="黑体" w:hAnsi="黑体" w:cs="方正仿宋_GB2312" w:hint="eastAsia"/>
          <w:bCs w:val="0"/>
          <w:sz w:val="30"/>
          <w:szCs w:val="30"/>
          <w:highlight w:val="none"/>
          <w:u w:val="none"/>
          <w:lang w:val="en-US" w:eastAsia="zh-CN"/>
        </w:rPr>
      </w:pPr>
      <w:bookmarkStart w:id="19" w:name="_Toc8231"/>
      <w:r>
        <w:rPr>
          <w:rFonts w:ascii="黑体" w:eastAsia="黑体" w:hAnsi="黑体" w:cs="方正仿宋_GB2312" w:hint="eastAsia"/>
          <w:bCs w:val="0"/>
          <w:sz w:val="30"/>
          <w:szCs w:val="30"/>
          <w:highlight w:val="none"/>
          <w:u w:val="none"/>
          <w:lang w:val="en-US" w:eastAsia="zh-CN"/>
        </w:rPr>
        <w:t xml:space="preserve">四、财政拨款收支决算总体情况说明</w:t>
      </w:r>
      <w:bookmarkEnd w:id="19"/>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中国农工民主党天津市委员会</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年度财政拨款收入、支出决算总</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11,970,191.78</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年度相比，财政拨款收、支总计</w:t>
      </w:r>
      <w:r>
        <w:rPr>
          <w:rFonts w:eastAsia="仿宋_GB2312" w:hint="eastAsia"/>
          <w:sz w:val="30"/>
          <w:szCs w:val="30"/>
          <w:highlight w:val="none"/>
          <w:lang w:val="en-US" w:eastAsia="zh-CN"/>
        </w:rPr>
        <w:t xml:space="preserve">各</w:t>
      </w:r>
      <w:r>
        <w:rPr>
          <w:rFonts w:eastAsia="仿宋_GB2312" w:hint="eastAsia"/>
          <w:sz w:val="30"/>
          <w:szCs w:val="30"/>
          <w:highlight w:val="none"/>
          <w:lang w:val="en-US" w:eastAsia="zh-CN"/>
        </w:rPr>
        <w:t xml:space="preserve">增加921,266.13元，增长8.34%，</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人员经费增加和年内两名在职干部病故，相应增加抚恤金支出</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收入包括：</w:t>
      </w:r>
      <w:r>
        <w:rPr>
          <w:rFonts w:eastAsia="仿宋_GB2312" w:hint="eastAsia"/>
          <w:sz w:val="30"/>
          <w:szCs w:val="30"/>
          <w:highlight w:val="none"/>
          <w:lang w:val="en-US" w:eastAsia="zh-CN"/>
        </w:rPr>
        <w:t xml:space="preserve">一般公共预算财政拨款11,965,619.18元、年初财政拨款结转和结余4,572.60元</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支出包括：</w:t>
      </w:r>
      <w:r>
        <w:rPr>
          <w:rFonts w:eastAsia="仿宋_GB2312" w:hint="eastAsia"/>
          <w:sz w:val="30"/>
          <w:szCs w:val="30"/>
          <w:highlight w:val="none"/>
          <w:lang w:val="en-US" w:eastAsia="zh-CN"/>
        </w:rPr>
        <w:t xml:space="preserve">一般公共服务支出10,432,880.14元、社会保障和就业支出1,007,363.76元、卫生健康支出525,501.14元、年末财政拨款结转和结余4,446.74元</w:t>
      </w:r>
      <w:r>
        <w:rPr>
          <w:rFonts w:eastAsia="仿宋_GB2312" w:hint="eastAsia"/>
          <w:sz w:val="30"/>
          <w:szCs w:val="30"/>
          <w:highlight w:val="none"/>
          <w:lang w:val="en-US" w:eastAsia="zh-CN"/>
        </w:rPr>
        <w:t xml:space="preserve">。</w:t>
      </w:r>
    </w:p>
    <w:p>
      <w:pPr>
        <w:pStyle w:val="标题2"/>
        <w:pageBreakBefore w:val="0"/>
        <w:kinsoku/>
        <w:wordWrap/>
        <w:overflowPunct/>
        <w:topLinePunct w:val="0"/>
        <w:autoSpaceDE/>
        <w:autoSpaceDN/>
        <w:bidi w:val="0"/>
        <w:snapToGrid/>
        <w:spacing w:before="0" w:after="0" w:line="600" w:lineRule="exact"/>
        <w:ind w:firstLine="600" w:firstLineChars="200"/>
        <w:outlineLvl w:val="0"/>
        <w:rPr>
          <w:rFonts w:ascii="黑体" w:eastAsia="黑体" w:hAnsi="黑体" w:cs="方正仿宋_GB2312" w:hint="eastAsia"/>
          <w:bCs w:val="0"/>
          <w:sz w:val="30"/>
          <w:szCs w:val="30"/>
          <w:highlight w:val="none"/>
          <w:u w:val="none"/>
          <w:lang w:val="en-US" w:eastAsia="zh-CN"/>
        </w:rPr>
      </w:pPr>
      <w:bookmarkStart w:id="20" w:name="_Toc24201"/>
      <w:r>
        <w:rPr>
          <w:rFonts w:ascii="黑体" w:eastAsia="黑体" w:hAnsi="黑体" w:cs="方正仿宋_GB2312" w:hint="eastAsia"/>
          <w:bCs w:val="0"/>
          <w:sz w:val="30"/>
          <w:szCs w:val="30"/>
          <w:highlight w:val="none"/>
          <w:u w:val="none"/>
          <w:lang w:val="en-US" w:eastAsia="zh-CN"/>
        </w:rPr>
        <w:t xml:space="preserve">五、一般公共预算财政拨款支出决算情况说明</w:t>
      </w:r>
      <w:bookmarkEnd w:id="20"/>
    </w:p>
    <w:p>
      <w:pPr>
        <w:divId w:val="0"/>
        <w:spacing w:line="600" w:lineRule="exact"/>
        <w:ind w:left="480" w:leftChars="200"/>
        <w:rPr>
          <w:rFonts w:ascii="楷体" w:eastAsia="楷体" w:hAnsi="楷体" w:cs="方正仿宋_GB2312" w:hint="eastAsia"/>
          <w:b/>
          <w:sz w:val="30"/>
          <w:szCs w:val="30"/>
          <w:highlight w:val="none"/>
        </w:rPr>
      </w:pPr>
      <w:r>
        <w:rPr>
          <w:rFonts w:ascii="楷体" w:eastAsia="楷体" w:hAnsi="楷体" w:cs="方正仿宋_GB2312" w:hint="eastAsia"/>
          <w:b/>
          <w:sz w:val="30"/>
          <w:szCs w:val="30"/>
          <w:lang w:val="en-US" w:eastAsia="zh-CN"/>
        </w:rPr>
        <w:t xml:space="preserve">（一）总体情况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中国农工民主党天津市委员会2025年度一般公共预算财政拨款支出合计11,965,745.04元，占本年支出合计的99.83%。与2024年度相比，一般公共预算财政拨款支出</w:t>
      </w:r>
      <w:r>
        <w:rPr>
          <w:rFonts w:eastAsia="仿宋_GB2312" w:hint="eastAsia"/>
          <w:sz w:val="30"/>
          <w:szCs w:val="30"/>
          <w:highlight w:val="none"/>
          <w:lang w:val="en-US" w:eastAsia="zh-CN"/>
        </w:rPr>
        <w:t xml:space="preserve">增加917,167.87元</w:t>
      </w:r>
      <w:r>
        <w:rPr>
          <w:rFonts w:eastAsia="仿宋_GB2312" w:hint="eastAsia"/>
          <w:sz w:val="30"/>
          <w:szCs w:val="30"/>
          <w:highlight w:val="none"/>
          <w:lang w:val="en-US" w:eastAsia="zh-CN"/>
        </w:rPr>
        <w:t xml:space="preserve">，增长8.30%</w:t>
      </w:r>
      <w:r>
        <w:rPr>
          <w:rFonts w:eastAsia="仿宋_GB2312" w:hint="eastAsia"/>
          <w:sz w:val="30"/>
          <w:szCs w:val="30"/>
          <w:highlight w:val="none"/>
          <w:lang w:val="en-US" w:eastAsia="zh-CN"/>
        </w:rPr>
        <w:t xml:space="preserve">，主要原因是人员经费增加和年内两名在职干部病故，相应增加抚恤金支出。</w:t>
      </w:r>
    </w:p>
    <w:p>
      <w:pPr>
        <w:divId w:val="0"/>
        <w:spacing w:line="600" w:lineRule="exact"/>
        <w:ind w:firstLine="600" w:firstLineChars="200"/>
        <w:rPr>
          <w:rFonts w:ascii="楷体" w:eastAsia="楷体" w:hAnsi="楷体" w:cs="方正仿宋_GB2312" w:hint="eastAsia"/>
          <w:b/>
          <w:sz w:val="30"/>
          <w:szCs w:val="30"/>
          <w:highlight w:val="none"/>
          <w:lang w:val="en-US" w:eastAsia="zh-CN"/>
        </w:rPr>
      </w:pPr>
      <w:r>
        <w:rPr>
          <w:rFonts w:ascii="楷体" w:eastAsia="楷体" w:hAnsi="楷体" w:cs="方正仿宋_GB2312" w:hint="eastAsia"/>
          <w:b/>
          <w:sz w:val="30"/>
          <w:szCs w:val="30"/>
          <w:lang w:val="en-US" w:eastAsia="zh-CN"/>
        </w:rPr>
        <w:t xml:space="preserve">（二）支出结构情况</w:t>
      </w:r>
    </w:p>
    <w:p>
      <w:pPr>
        <w:divId w:val="0"/>
        <w:spacing w:line="600" w:lineRule="exact"/>
        <w:ind w:firstLine="600" w:firstLineChars="200"/>
        <w:rPr>
          <w:rFonts w:eastAsia="仿宋_GB2312"/>
          <w:sz w:val="30"/>
          <w:szCs w:val="30"/>
          <w:highlight w:val="none"/>
        </w:rPr>
      </w:pPr>
      <w:r>
        <w:rPr>
          <w:rFonts w:eastAsia="仿宋_GB2312" w:hint="eastAsia"/>
          <w:sz w:val="30"/>
          <w:szCs w:val="30"/>
          <w:highlight w:val="none"/>
          <w:lang w:val="en-US" w:eastAsia="zh-CN"/>
        </w:rPr>
        <w:t xml:space="preserve">2025年度一般公共预算财政拨款支出11,965,745.04元，主要用于以下方面：</w:t>
      </w:r>
      <w:r>
        <w:rPr>
          <w:rFonts w:eastAsia="仿宋_GB2312" w:hint="eastAsia"/>
          <w:sz w:val="30"/>
          <w:szCs w:val="30"/>
          <w:highlight w:val="none"/>
        </w:rPr>
        <w:t xml:space="preserve">一般公共服务支出（类）支出10,432,880.14元，占87.19%，社会保障和就业支出（类）支出1,007,363.76元，占8.42%，卫生健康支出（类）支出525,501.14元，占4.39%</w:t>
      </w:r>
      <w:r>
        <w:rPr>
          <w:rFonts w:eastAsia="仿宋_GB2312" w:hint="eastAsia"/>
          <w:sz w:val="30"/>
          <w:szCs w:val="30"/>
          <w:highlight w:val="none"/>
        </w:rPr>
        <w:t xml:space="preserve">。</w:t>
      </w:r>
    </w:p>
    <w:p>
      <w:pPr>
        <w:divId w:val="0"/>
        <w:spacing w:line="600" w:lineRule="exact"/>
        <w:ind w:firstLine="600" w:firstLineChars="200"/>
        <w:rPr>
          <w:rFonts w:ascii="楷体" w:eastAsia="楷体" w:hAnsi="楷体" w:cs="方正仿宋_GB2312" w:hint="eastAsia"/>
          <w:b/>
          <w:sz w:val="30"/>
          <w:szCs w:val="30"/>
          <w:highlight w:val="none"/>
        </w:rPr>
      </w:pPr>
      <w:r>
        <w:rPr>
          <w:rFonts w:ascii="楷体" w:eastAsia="楷体" w:hAnsi="楷体" w:cs="方正仿宋_GB2312" w:hint="eastAsia"/>
          <w:b/>
          <w:sz w:val="30"/>
          <w:szCs w:val="30"/>
          <w:lang w:val="en-US" w:eastAsia="zh-CN"/>
        </w:rPr>
        <w:t xml:space="preserve">（三）具体情况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2025年度一般公共预算财政拨款支出年初预算为11,080,000.00元，支出决算为11,965,745.04元</w:t>
      </w:r>
      <w:r>
        <w:rPr>
          <w:rFonts w:eastAsia="仿宋_GB2312" w:hint="eastAsia"/>
          <w:sz w:val="30"/>
          <w:szCs w:val="30"/>
          <w:highlight w:val="none"/>
          <w:lang w:val="en-US" w:eastAsia="zh-CN"/>
        </w:rPr>
        <w:t xml:space="preserve">，完成年初预算的107.99%</w:t>
      </w:r>
      <w:r>
        <w:rPr>
          <w:rFonts w:eastAsia="仿宋_GB2312" w:hint="eastAsia"/>
          <w:sz w:val="30"/>
          <w:szCs w:val="30"/>
          <w:highlight w:val="none"/>
          <w:lang w:val="en-US" w:eastAsia="zh-CN"/>
        </w:rPr>
        <w:t xml:space="preserve">。其中：</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一般公共服务支出（类）民主党派及工商联事务（款）行政运行（项）年初预算为8,634,000.00元，支出决算为8,986,373.34元，完成年初预算的104.08%，决算数大于年初预算数的主要原因是：人员经费增加，年内两名在职干部病故增加抚恤金支出，财政相应追加拨款。</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2.一般公共服务支出（类）民主党派及工商联事务（款）一般行政管理事务（项）年初预算为50,000.00元，支出决算为50,000.00元，完成年初预算的100.00%，决算数与年初预算数持平的主要原因是：严格按照预算执行。</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3.一般公共服务支出（类）民主党派及工商联事务（款）参政议政（项）年初预算为745,000.00元，支出决算为728,394.80元，完成年初预算的97.77%，决算数小于年初预算数的主要原因是：严格预算执行，压减经费支出。</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4.一般公共服务支出（类）民主党派及工商联事务（款）其他民主党派及工商联事务支出（项）年初预算为0.00元，支出决算为668,112.00元，决算数大于年初预算数的主要原因是：年内两名在职干部病故新增抚恤金支出。</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5.社会保障和就业支出（类）行政事业单位养老支出（款）机关事业单位基本养老保险缴费支出（项）年初预算为724,000.00元，支出决算为671,575.84元，完成年初预算的92.76%，决算数小于年初预算数的主要原因是：年内一名在职人员退休、两名在职人员病故，实际缴费人数低于年初预算编制时按实有在编人数测算的口径。</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6.社会保障和就业支出（类）行政事业单位养老支出（款）机关事业单位职业年金缴费支出（项）年初预算为362,000.00元，支出决算为335,787.92元，完成年初预算的92.76%，决算数小于年初预算数的主要原因是：年内一名在职人员退休、两名在职人员病故，职业年金实际缴费人数较年初预算测算数减少。</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7.卫生健康支出（类）行政事业单位医疗（款）行政单位医疗（项）年初预算为475,000.00元，支出决算为442,234.90元，完成年初预算的93.10%，决算数小于年初预算数的主要原因是：年内人员增减变动及职工基本医疗保险缴费基数据实调整，实际缴费支出低于年初按全员全额测算的预算数。</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8.卫生健康支出（类）行政事业单位医疗（款）公务员医疗补助（项）年初预算为90,000.00元，支出决算为83,266.24元，完成年初预算的92.52%，决算数小于年初预算数的主要原因是：年内人员变动及公务员医疗补助缴费据实结算，实际支出低于年初预算测算数。</w:t>
      </w:r>
    </w:p>
    <w:p>
      <w:pPr>
        <w:pStyle w:val="标题2"/>
        <w:spacing w:before="0" w:after="0" w:line="600" w:lineRule="exact"/>
        <w:ind w:firstLine="600" w:firstLineChars="200"/>
        <w:rPr>
          <w:rFonts w:ascii="黑体" w:eastAsia="黑体" w:hAnsi="黑体"/>
          <w:b w:val="0"/>
          <w:sz w:val="30"/>
          <w:szCs w:val="30"/>
          <w:highlight w:val="none"/>
        </w:rPr>
      </w:pPr>
      <w:bookmarkStart w:id="21" w:name="_Toc17234"/>
      <w:r>
        <w:rPr>
          <w:rFonts w:ascii="黑体" w:eastAsia="黑体" w:hAnsi="黑体" w:cs="方正仿宋_GB2312" w:hint="eastAsia"/>
          <w:bCs w:val="0"/>
          <w:sz w:val="30"/>
          <w:szCs w:val="30"/>
          <w:highlight w:val="none"/>
          <w:u w:val="none"/>
          <w:lang w:val="en-US" w:eastAsia="zh-CN"/>
        </w:rPr>
        <w:t xml:space="preserve">六、一般公共预算财政拨款基本支出决算情况说明</w:t>
      </w:r>
      <w:bookmarkEnd w:id="21"/>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中国农工民主党天津市委员会2025年度一般公共预算财政拨款基本支出合计10,519,238.24元，与2024年度相比</w:t>
      </w:r>
      <w:r>
        <w:rPr>
          <w:rFonts w:eastAsia="仿宋_GB2312" w:hint="eastAsia"/>
          <w:sz w:val="30"/>
          <w:szCs w:val="30"/>
          <w:highlight w:val="none"/>
          <w:lang w:val="en-US" w:eastAsia="zh-CN"/>
        </w:rPr>
        <w:t xml:space="preserve">增加338,990.65元，</w:t>
      </w:r>
      <w:r>
        <w:rPr>
          <w:rFonts w:eastAsia="仿宋_GB2312" w:hint="eastAsia"/>
          <w:sz w:val="30"/>
          <w:szCs w:val="30"/>
          <w:highlight w:val="none"/>
          <w:lang w:val="en-US" w:eastAsia="zh-CN"/>
        </w:rPr>
        <w:t xml:space="preserve">主要原因是人员调整，人员经费增加。</w:t>
      </w:r>
      <w:r>
        <w:rPr>
          <w:rFonts w:eastAsia="仿宋_GB2312" w:hint="eastAsia"/>
          <w:sz w:val="30"/>
          <w:szCs w:val="30"/>
          <w:highlight w:val="none"/>
          <w:lang w:val="en-US" w:eastAsia="zh-CN"/>
        </w:rPr>
        <w:t xml:space="preserve">其中：</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人员经费9,513,019.14元，主要包括</w:t>
      </w:r>
      <w:r>
        <w:rPr>
          <w:rFonts w:eastAsia="仿宋_GB2312" w:hint="eastAsia"/>
          <w:sz w:val="30"/>
          <w:szCs w:val="30"/>
          <w:highlight w:val="none"/>
          <w:lang w:val="en-US" w:eastAsia="zh-CN"/>
        </w:rPr>
        <w:t xml:space="preserve">基本工资、津贴补贴、奖金、机关事业单位基本养老保险缴费、职业年金缴费、职工基本医疗保险缴费、公务员医疗补助缴费、其他社会保障缴费、住房公积金、其他工资福利支出、退休费、奖励金</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公用经费1,006,219.10元，主要包括</w:t>
      </w:r>
      <w:r>
        <w:rPr>
          <w:rFonts w:eastAsia="仿宋_GB2312" w:hint="eastAsia"/>
          <w:sz w:val="30"/>
          <w:szCs w:val="30"/>
          <w:highlight w:val="none"/>
          <w:lang w:val="en-US" w:eastAsia="zh-CN"/>
        </w:rPr>
        <w:t xml:space="preserve">办公费、手续费、水费、电费、邮电费、物业管理费、维修(护)费、公务接待费、工会经费、福利费、公务用车运行维护费、其他交通费用、其他商品和服务支出</w:t>
      </w:r>
      <w:r>
        <w:rPr>
          <w:rFonts w:eastAsia="仿宋_GB2312" w:hint="eastAsia"/>
          <w:sz w:val="30"/>
          <w:szCs w:val="30"/>
          <w:highlight w:val="none"/>
          <w:lang w:val="en-US" w:eastAsia="zh-CN"/>
        </w:rPr>
        <w:t xml:space="preserve">。</w:t>
      </w:r>
    </w:p>
    <w:p>
      <w:pPr>
        <w:pStyle w:val="标题2"/>
        <w:spacing w:before="0" w:after="0" w:line="600" w:lineRule="exact"/>
        <w:ind w:firstLine="600" w:firstLineChars="200"/>
        <w:rPr>
          <w:rFonts w:ascii="楷体" w:eastAsia="楷体" w:hAnsi="楷体" w:cs="方正仿宋_GB2312" w:hint="eastAsia"/>
          <w:b w:val="0"/>
          <w:sz w:val="30"/>
          <w:szCs w:val="30"/>
          <w:highlight w:val="none"/>
        </w:rPr>
      </w:pPr>
      <w:bookmarkStart w:id="22" w:name="_Toc11228"/>
      <w:r>
        <w:rPr>
          <w:rFonts w:ascii="黑体" w:eastAsia="黑体" w:hAnsi="黑体" w:cs="方正仿宋_GB2312" w:hint="eastAsia"/>
          <w:bCs w:val="0"/>
          <w:sz w:val="30"/>
          <w:szCs w:val="30"/>
          <w:highlight w:val="none"/>
          <w:u w:val="none"/>
          <w:lang w:val="en-US" w:eastAsia="zh-CN"/>
        </w:rPr>
        <w:t xml:space="preserve">七、政府性基金预算财政拨款收支决算情况说明</w:t>
      </w:r>
      <w:bookmarkEnd w:id="22"/>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中国农工民主党天津市委员会2025年度无政府性基金预算财政拨款收入、支出和结转结余。</w:t>
      </w:r>
    </w:p>
    <w:p>
      <w:pPr>
        <w:pStyle w:val="标题2"/>
        <w:spacing w:before="0" w:after="0" w:line="600" w:lineRule="exact"/>
        <w:ind w:firstLine="600" w:firstLineChars="200"/>
        <w:rPr>
          <w:rFonts w:eastAsia="黑体" w:hint="eastAsia"/>
          <w:b w:val="0"/>
          <w:sz w:val="30"/>
          <w:szCs w:val="30"/>
          <w:highlight w:val="none"/>
        </w:rPr>
      </w:pPr>
      <w:bookmarkStart w:id="23" w:name="_Toc2429"/>
      <w:r>
        <w:rPr>
          <w:rFonts w:ascii="黑体" w:eastAsia="黑体" w:hAnsi="黑体" w:cs="方正仿宋_GB2312" w:hint="eastAsia"/>
          <w:bCs w:val="0"/>
          <w:sz w:val="30"/>
          <w:szCs w:val="30"/>
          <w:highlight w:val="none"/>
          <w:u w:val="none"/>
          <w:lang w:val="en-US" w:eastAsia="zh-CN"/>
        </w:rPr>
        <w:t xml:space="preserve">八、国有资本经营预算财政拨款收支决算情况说明</w:t>
      </w:r>
      <w:bookmarkEnd w:id="23"/>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中国农工民主党天津市委员会2025年度无国有资本经营预算财政拨款收入、支出和结转结余。</w:t>
      </w:r>
    </w:p>
    <w:p>
      <w:pPr>
        <w:pStyle w:val="标题2"/>
        <w:spacing w:before="0" w:after="0" w:line="600" w:lineRule="exact"/>
        <w:ind w:firstLine="600" w:firstLineChars="200"/>
        <w:rPr>
          <w:rFonts w:ascii="黑体" w:eastAsia="黑体" w:hAnsi="黑体"/>
          <w:b w:val="0"/>
          <w:sz w:val="30"/>
          <w:szCs w:val="30"/>
          <w:highlight w:val="none"/>
        </w:rPr>
      </w:pPr>
      <w:bookmarkStart w:id="24" w:name="_Toc22288"/>
      <w:r>
        <w:rPr>
          <w:rFonts w:ascii="黑体" w:eastAsia="黑体" w:hAnsi="黑体" w:cs="方正仿宋_GB2312" w:hint="eastAsia"/>
          <w:bCs w:val="0"/>
          <w:sz w:val="30"/>
          <w:szCs w:val="30"/>
          <w:highlight w:val="none"/>
          <w:u w:val="none"/>
          <w:lang w:val="en-US" w:eastAsia="zh-CN"/>
        </w:rPr>
        <w:t xml:space="preserve">九、财政拨款“三公”经费支出决算情况说明</w:t>
      </w:r>
      <w:bookmarkEnd w:id="24"/>
    </w:p>
    <w:p>
      <w:pPr>
        <w:divId w:val="0"/>
        <w:spacing w:line="600" w:lineRule="exact"/>
        <w:ind w:firstLine="600" w:firstLineChars="200"/>
        <w:rPr>
          <w:rFonts w:ascii="楷体" w:eastAsia="楷体" w:hAnsi="楷体" w:cs="楷体" w:hint="eastAsia"/>
          <w:b/>
          <w:bCs/>
          <w:sz w:val="30"/>
          <w:szCs w:val="30"/>
          <w:highlight w:val="none"/>
          <w:lang w:eastAsia="zh-CN"/>
        </w:rPr>
      </w:pPr>
      <w:r>
        <w:rPr>
          <w:rFonts w:ascii="楷体" w:eastAsia="楷体" w:hAnsi="楷体" w:cs="楷体" w:hint="eastAsia"/>
          <w:b/>
          <w:bCs/>
          <w:sz w:val="30"/>
          <w:szCs w:val="30"/>
          <w:highlight w:val="none"/>
          <w:lang w:eastAsia="zh-CN"/>
        </w:rPr>
        <w:t xml:space="preserve">（一）总体情况</w:t>
      </w:r>
    </w:p>
    <w:p>
      <w:pPr>
        <w:divId w:val="0"/>
        <w:spacing w:line="600" w:lineRule="exact"/>
        <w:ind w:firstLine="600"/>
        <w:rPr>
          <w:rFonts w:eastAsia="仿宋_GB2312" w:hint="default"/>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年财政拨</w:t>
      </w:r>
      <w:r>
        <w:rPr>
          <w:rFonts w:eastAsia="仿宋_GB2312" w:hint="eastAsia"/>
          <w:sz w:val="30"/>
          <w:szCs w:val="30"/>
          <w:highlight w:val="none"/>
          <w:lang w:val="en-US" w:eastAsia="zh-CN"/>
        </w:rPr>
        <w:t xml:space="preserve">款</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三</w:t>
      </w:r>
      <w:r>
        <w:rPr>
          <w:rFonts w:eastAsia="仿宋_GB2312" w:hint="eastAsia"/>
          <w:sz w:val="30"/>
          <w:szCs w:val="30"/>
          <w:highlight w:val="none"/>
          <w:lang w:val="en-US" w:eastAsia="zh-CN"/>
        </w:rPr>
        <w:t xml:space="preserve">公</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经费预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21,000.00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19,309.00</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减少1,691.00元</w:t>
      </w:r>
      <w:r>
        <w:rPr>
          <w:rFonts w:eastAsia="仿宋_GB2312" w:hint="eastAsia"/>
          <w:sz w:val="30"/>
          <w:szCs w:val="30"/>
          <w:highlight w:val="none"/>
          <w:lang w:val="en-US" w:eastAsia="zh-CN"/>
        </w:rPr>
        <w:t xml:space="preserve">，完成预算的91.95%</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支出决算较上年减少1,691.00元</w:t>
      </w:r>
      <w:r>
        <w:rPr>
          <w:rFonts w:eastAsia="仿宋_GB2312" w:hint="eastAsia"/>
          <w:sz w:val="30"/>
          <w:szCs w:val="30"/>
          <w:highlight w:val="none"/>
          <w:lang w:val="en-US" w:eastAsia="zh-CN"/>
        </w:rPr>
        <w:t xml:space="preserve">，下降8.05%</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决算数小于预算数的主要原因是严格按照预算执行，合理安排“三公”经费支出，当年公务接待批次人数减少，公务接待费支出减少；</w:t>
      </w:r>
      <w:r>
        <w:rPr>
          <w:rFonts w:eastAsia="仿宋_GB2312" w:hint="eastAsia"/>
          <w:sz w:val="30"/>
          <w:szCs w:val="30"/>
          <w:highlight w:val="none"/>
          <w:lang w:val="en-US" w:eastAsia="zh-CN"/>
        </w:rPr>
        <w:t xml:space="preserve">决算数较上年减少的主要原因是厉行节约，合理安排“三公”经费支出，接待批次以及人次减少，压减公务接待费支出。</w:t>
      </w:r>
    </w:p>
    <w:p>
      <w:pPr>
        <w:divId w:val="0"/>
        <w:spacing w:line="600" w:lineRule="exact"/>
        <w:ind w:firstLine="600" w:firstLineChars="200"/>
        <w:rPr>
          <w:rFonts w:ascii="楷体" w:eastAsia="楷体" w:hAnsi="楷体" w:cs="楷体" w:hint="eastAsia"/>
          <w:b/>
          <w:bCs/>
          <w:sz w:val="30"/>
          <w:szCs w:val="30"/>
          <w:highlight w:val="none"/>
          <w:lang w:eastAsia="zh-CN"/>
        </w:rPr>
      </w:pPr>
      <w:r>
        <w:rPr>
          <w:rFonts w:ascii="楷体" w:eastAsia="楷体" w:hAnsi="楷体" w:cs="楷体" w:hint="eastAsia"/>
          <w:b/>
          <w:bCs/>
          <w:sz w:val="30"/>
          <w:szCs w:val="30"/>
          <w:highlight w:val="none"/>
          <w:lang w:eastAsia="zh-CN"/>
        </w:rPr>
        <w:t xml:space="preserve">（二）具体情况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因公出国（境）费预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决算数与预算数持平的主要原因是本年度未用财政拨款经费列支因公出国（境）费；</w:t>
      </w:r>
      <w:r>
        <w:rPr>
          <w:rFonts w:eastAsia="仿宋_GB2312" w:hint="eastAsia"/>
          <w:sz w:val="30"/>
          <w:szCs w:val="30"/>
          <w:highlight w:val="none"/>
          <w:lang w:val="en-US" w:eastAsia="zh-CN"/>
        </w:rPr>
        <w:t xml:space="preserve">决算数较上年持平的主要原因是本年度未用财政拨款经费列支因公出国（境）费。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年本单位组织的出国团</w:t>
      </w:r>
      <w:r>
        <w:rPr>
          <w:rFonts w:eastAsia="仿宋_GB2312" w:hint="eastAsia"/>
          <w:sz w:val="30"/>
          <w:szCs w:val="30"/>
          <w:highlight w:val="none"/>
          <w:lang w:val="en-US" w:eastAsia="zh-CN"/>
        </w:rPr>
        <w:t xml:space="preserve">组</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个，出</w:t>
      </w:r>
      <w:r>
        <w:rPr>
          <w:rFonts w:eastAsia="仿宋_GB2312" w:hint="eastAsia"/>
          <w:sz w:val="30"/>
          <w:szCs w:val="30"/>
          <w:highlight w:val="none"/>
          <w:lang w:val="en-US" w:eastAsia="zh-CN"/>
        </w:rPr>
        <w:t xml:space="preserve">国</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人次。</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公务用车购置及运行维护费预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13,000.00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13,000.00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，完成预算的100.00%</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决算数与预算数持平的主要原因是厉行节约，合理安排公车使用，严格按照预算执行；</w:t>
      </w:r>
      <w:r>
        <w:rPr>
          <w:rFonts w:eastAsia="仿宋_GB2312" w:hint="eastAsia"/>
          <w:sz w:val="30"/>
          <w:szCs w:val="30"/>
          <w:highlight w:val="none"/>
          <w:lang w:val="en-US" w:eastAsia="zh-CN"/>
        </w:rPr>
        <w:t xml:space="preserve">决算数较上年持平的主要原因是厉行节约，加强公车管理，严格按照预算执行。</w:t>
      </w:r>
      <w:r>
        <w:rPr>
          <w:rFonts w:eastAsia="仿宋_GB2312" w:hint="eastAsia"/>
          <w:sz w:val="30"/>
          <w:szCs w:val="30"/>
          <w:highlight w:val="none"/>
          <w:lang w:val="en-US" w:eastAsia="zh-CN"/>
        </w:rPr>
        <w:t xml:space="preserve">其中：</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公务用车运行维护费预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13,000.00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13,000.00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，完成预算的100.00%</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决算数与预算数持平的主要原因是严格公务用车使用管理，按核定标准控制运行维护支出；</w:t>
      </w:r>
      <w:r>
        <w:rPr>
          <w:rFonts w:eastAsia="仿宋_GB2312" w:hint="eastAsia"/>
          <w:sz w:val="30"/>
          <w:szCs w:val="30"/>
          <w:highlight w:val="none"/>
          <w:lang w:val="en-US" w:eastAsia="zh-CN"/>
        </w:rPr>
        <w:t xml:space="preserve">决算数较上年持平的主要原因是严格预算执行，加强公车管理使用，运行维护费用保持稳定。</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截</w:t>
      </w:r>
      <w:r>
        <w:rPr>
          <w:rFonts w:eastAsia="仿宋_GB2312" w:hint="eastAsia"/>
          <w:sz w:val="30"/>
          <w:szCs w:val="30"/>
          <w:highlight w:val="none"/>
          <w:lang w:val="en-US" w:eastAsia="zh-CN"/>
        </w:rPr>
        <w:t xml:space="preserve">至</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w:t>
      </w: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2</w:t>
      </w:r>
      <w:r>
        <w:rPr>
          <w:rFonts w:eastAsia="仿宋_GB2312" w:hint="eastAsia"/>
          <w:sz w:val="30"/>
          <w:szCs w:val="30"/>
          <w:highlight w:val="none"/>
          <w:lang w:val="en-US" w:eastAsia="zh-CN"/>
        </w:rPr>
        <w:t xml:space="preserve">月</w:t>
      </w:r>
      <w:r>
        <w:rPr>
          <w:rFonts w:eastAsia="仿宋_GB2312" w:hint="eastAsia"/>
          <w:sz w:val="30"/>
          <w:szCs w:val="30"/>
          <w:highlight w:val="none"/>
          <w:lang w:val="en-US" w:eastAsia="zh-CN"/>
        </w:rPr>
        <w:t xml:space="preserve">3</w:t>
      </w: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日，使用财政拨款开支运行维护费的公务用车保有量</w:t>
      </w:r>
      <w:r>
        <w:rPr>
          <w:rFonts w:eastAsia="仿宋_GB2312" w:hint="eastAsia"/>
          <w:sz w:val="30"/>
          <w:szCs w:val="30"/>
          <w:highlight w:val="none"/>
          <w:lang w:val="en-US" w:eastAsia="zh-CN"/>
        </w:rPr>
        <w:t xml:space="preserve">为</w:t>
      </w:r>
      <w:r>
        <w:rPr>
          <w:rFonts w:eastAsia="仿宋_GB2312" w:hint="eastAsia"/>
          <w:sz w:val="30"/>
          <w:szCs w:val="30"/>
          <w:highlight w:val="none"/>
          <w:lang w:val="en-US" w:eastAsia="zh-CN"/>
        </w:rPr>
        <w:t xml:space="preserve">2</w:t>
      </w:r>
      <w:r>
        <w:rPr>
          <w:rFonts w:eastAsia="仿宋_GB2312" w:hint="eastAsia"/>
          <w:sz w:val="30"/>
          <w:szCs w:val="30"/>
          <w:highlight w:val="none"/>
          <w:lang w:val="en-US" w:eastAsia="zh-CN"/>
        </w:rPr>
        <w:t xml:space="preserve">辆</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公务用车购置费预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决算数与预算数持平的主要原因是本年度未用财政拨款经费列支公务用车购置费；</w:t>
      </w:r>
      <w:r>
        <w:rPr>
          <w:rFonts w:eastAsia="仿宋_GB2312" w:hint="eastAsia"/>
          <w:sz w:val="30"/>
          <w:szCs w:val="30"/>
          <w:highlight w:val="none"/>
          <w:lang w:val="en-US" w:eastAsia="zh-CN"/>
        </w:rPr>
        <w:t xml:space="preserve">决算数较上年持平的主要原因是本年度未用财政拨款经费列支公务用车购置费。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年购置公务用</w:t>
      </w:r>
      <w:r>
        <w:rPr>
          <w:rFonts w:eastAsia="仿宋_GB2312" w:hint="eastAsia"/>
          <w:sz w:val="30"/>
          <w:szCs w:val="30"/>
          <w:highlight w:val="none"/>
          <w:lang w:val="en-US" w:eastAsia="zh-CN"/>
        </w:rPr>
        <w:t xml:space="preserve">车</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辆。</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3</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公务接待费预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8,000.00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6,309.00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减少1,691.00元</w:t>
      </w:r>
      <w:r>
        <w:rPr>
          <w:rFonts w:eastAsia="仿宋_GB2312" w:hint="eastAsia"/>
          <w:sz w:val="30"/>
          <w:szCs w:val="30"/>
          <w:highlight w:val="none"/>
          <w:lang w:val="en-US" w:eastAsia="zh-CN"/>
        </w:rPr>
        <w:t xml:space="preserve">，完成预算的78.86%</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支出决算较上年减少1,691.00元</w:t>
      </w:r>
      <w:r>
        <w:rPr>
          <w:rFonts w:eastAsia="仿宋_GB2312" w:hint="eastAsia"/>
          <w:sz w:val="30"/>
          <w:szCs w:val="30"/>
          <w:highlight w:val="none"/>
          <w:lang w:val="en-US" w:eastAsia="zh-CN"/>
        </w:rPr>
        <w:t xml:space="preserve">，下降21.14%</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决算数小于预算数的主要原因是厉行节约，从严控制公务接待范围及标准，实际接待批次和人次少于年初预算预期；</w:t>
      </w:r>
      <w:r>
        <w:rPr>
          <w:rFonts w:eastAsia="仿宋_GB2312" w:hint="eastAsia"/>
          <w:sz w:val="30"/>
          <w:szCs w:val="30"/>
          <w:highlight w:val="none"/>
          <w:lang w:val="en-US" w:eastAsia="zh-CN"/>
        </w:rPr>
        <w:t xml:space="preserve">决算数较上年减少的主要原因是进一步压减非必要公务接待，严格控制接待规模和频次，公务接待批次和人次较上年均有下降。</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年本单位国内公务接</w:t>
      </w:r>
      <w:r>
        <w:rPr>
          <w:rFonts w:eastAsia="仿宋_GB2312" w:hint="eastAsia"/>
          <w:sz w:val="30"/>
          <w:szCs w:val="30"/>
          <w:highlight w:val="none"/>
          <w:lang w:val="en-US" w:eastAsia="zh-CN"/>
        </w:rPr>
        <w:t xml:space="preserve">待</w:t>
      </w:r>
      <w:r>
        <w:rPr>
          <w:rFonts w:eastAsia="仿宋_GB2312" w:hint="eastAsia"/>
          <w:sz w:val="30"/>
          <w:szCs w:val="30"/>
          <w:highlight w:val="none"/>
          <w:lang w:val="en-US" w:eastAsia="zh-CN"/>
        </w:rPr>
        <w:t xml:space="preserve">6</w:t>
      </w:r>
      <w:r>
        <w:rPr>
          <w:rFonts w:eastAsia="仿宋_GB2312" w:hint="eastAsia"/>
          <w:sz w:val="30"/>
          <w:szCs w:val="30"/>
          <w:highlight w:val="none"/>
          <w:lang w:val="en-US" w:eastAsia="zh-CN"/>
        </w:rPr>
        <w:t xml:space="preserve">批次</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56</w:t>
      </w:r>
      <w:r>
        <w:rPr>
          <w:rFonts w:eastAsia="仿宋_GB2312" w:hint="eastAsia"/>
          <w:sz w:val="30"/>
          <w:szCs w:val="30"/>
          <w:highlight w:val="none"/>
          <w:lang w:val="en-US" w:eastAsia="zh-CN"/>
        </w:rPr>
        <w:t xml:space="preserve">人次；其中，外事接</w:t>
      </w:r>
      <w:r>
        <w:rPr>
          <w:rFonts w:eastAsia="仿宋_GB2312" w:hint="eastAsia"/>
          <w:sz w:val="30"/>
          <w:szCs w:val="30"/>
          <w:highlight w:val="none"/>
          <w:lang w:val="en-US" w:eastAsia="zh-CN"/>
        </w:rPr>
        <w:t xml:space="preserve">待</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批次</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人次。</w:t>
      </w:r>
    </w:p>
    <w:p>
      <w:pPr>
        <w:pStyle w:val="标题2"/>
        <w:spacing w:before="0" w:after="0" w:line="600" w:lineRule="exact"/>
        <w:ind w:firstLine="600" w:firstLineChars="200"/>
        <w:rPr>
          <w:rFonts w:ascii="黑体" w:eastAsia="黑体" w:hAnsi="黑体"/>
          <w:b w:val="0"/>
          <w:sz w:val="30"/>
          <w:szCs w:val="30"/>
          <w:highlight w:val="none"/>
        </w:rPr>
      </w:pPr>
      <w:bookmarkStart w:id="25" w:name="_Toc30303"/>
      <w:r>
        <w:rPr>
          <w:rFonts w:ascii="黑体" w:eastAsia="黑体" w:hAnsi="黑体" w:cs="方正仿宋_GB2312" w:hint="eastAsia"/>
          <w:bCs w:val="0"/>
          <w:sz w:val="30"/>
          <w:szCs w:val="30"/>
          <w:highlight w:val="none"/>
          <w:u w:val="none"/>
          <w:lang w:val="en-US" w:eastAsia="zh-CN"/>
        </w:rPr>
        <w:t xml:space="preserve">十、机关运行经费支出情况说明</w:t>
      </w:r>
      <w:bookmarkEnd w:id="25"/>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机关运行经费是指行政单位和参照公务员法管理的事业单位使用财政拨款安排的基本支出中的日常公用经费支出，中国农工民主党天津市委员会2025年度机关运行经费年初预算8,654,000.00元，决算数1,006,219.10元，与年初预算相比</w:t>
      </w:r>
      <w:r>
        <w:rPr>
          <w:rFonts w:eastAsia="仿宋_GB2312" w:hint="eastAsia"/>
          <w:sz w:val="30"/>
          <w:szCs w:val="30"/>
          <w:highlight w:val="none"/>
          <w:lang w:val="en-US" w:eastAsia="zh-CN"/>
        </w:rPr>
        <w:t xml:space="preserve">减少7,647,780.90元，</w:t>
      </w:r>
      <w:r>
        <w:rPr>
          <w:rFonts w:eastAsia="仿宋_GB2312" w:hint="eastAsia"/>
          <w:sz w:val="30"/>
          <w:szCs w:val="30"/>
          <w:highlight w:val="none"/>
          <w:lang w:val="en-US" w:eastAsia="zh-CN"/>
        </w:rPr>
        <w:t xml:space="preserve">完成年初预算的11.63%；</w:t>
      </w:r>
      <w:r>
        <w:rPr>
          <w:rFonts w:eastAsia="仿宋_GB2312" w:hint="eastAsia"/>
          <w:sz w:val="30"/>
          <w:szCs w:val="30"/>
          <w:highlight w:val="none"/>
          <w:lang w:val="en-US" w:eastAsia="zh-CN"/>
        </w:rPr>
        <w:t xml:space="preserve">比2024年减少12,294.57元</w:t>
      </w:r>
      <w:r>
        <w:rPr>
          <w:rFonts w:eastAsia="仿宋_GB2312" w:hint="eastAsia"/>
          <w:sz w:val="30"/>
          <w:szCs w:val="30"/>
          <w:highlight w:val="none"/>
          <w:lang w:val="en-US" w:eastAsia="zh-CN"/>
        </w:rPr>
        <w:t xml:space="preserve">，下降1.21%</w:t>
      </w:r>
      <w:r>
        <w:rPr>
          <w:rFonts w:eastAsia="仿宋_GB2312" w:hint="eastAsia"/>
          <w:sz w:val="30"/>
          <w:szCs w:val="30"/>
          <w:highlight w:val="none"/>
          <w:lang w:val="en-US" w:eastAsia="zh-CN"/>
        </w:rPr>
        <w:t xml:space="preserve">。主要原因是：严格落实过紧日子要求，压减一般性支出。</w:t>
      </w:r>
    </w:p>
    <w:p>
      <w:pPr>
        <w:pStyle w:val="标题2"/>
        <w:spacing w:before="0" w:after="0" w:line="600" w:lineRule="exact"/>
        <w:ind w:firstLine="600" w:firstLineChars="200"/>
        <w:rPr>
          <w:rFonts w:ascii="黑体" w:eastAsia="黑体" w:hAnsi="黑体" w:cs="方正仿宋_GB2312" w:hint="eastAsia"/>
          <w:bCs w:val="0"/>
          <w:sz w:val="30"/>
          <w:szCs w:val="30"/>
          <w:highlight w:val="none"/>
          <w:u w:val="none"/>
          <w:lang w:val="en-US" w:eastAsia="zh-CN"/>
        </w:rPr>
      </w:pPr>
      <w:bookmarkStart w:id="26" w:name="_Toc3597"/>
      <w:r>
        <w:rPr>
          <w:rFonts w:ascii="黑体" w:eastAsia="黑体" w:hAnsi="黑体" w:cs="方正仿宋_GB2312" w:hint="eastAsia"/>
          <w:bCs w:val="0"/>
          <w:sz w:val="30"/>
          <w:szCs w:val="30"/>
          <w:highlight w:val="none"/>
          <w:u w:val="none"/>
          <w:lang w:val="en-US" w:eastAsia="zh-CN"/>
        </w:rPr>
        <w:t xml:space="preserve">十一、政府采购支出情况说明</w:t>
      </w:r>
      <w:bookmarkEnd w:id="26"/>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中国农工民主党天津市委员会2025年度无政府采购支出。</w:t>
      </w:r>
    </w:p>
    <w:p>
      <w:pPr>
        <w:pStyle w:val="标题2"/>
        <w:spacing w:before="0" w:after="0" w:line="600" w:lineRule="exact"/>
        <w:ind w:firstLine="600" w:firstLineChars="200"/>
        <w:rPr>
          <w:rFonts w:ascii="黑体" w:eastAsia="黑体" w:hAnsi="黑体" w:hint="eastAsia"/>
          <w:b w:val="0"/>
          <w:sz w:val="30"/>
          <w:szCs w:val="30"/>
          <w:highlight w:val="none"/>
        </w:rPr>
      </w:pPr>
      <w:bookmarkStart w:id="27" w:name="_Toc32039"/>
      <w:r>
        <w:rPr>
          <w:rFonts w:ascii="黑体" w:eastAsia="黑体" w:hAnsi="黑体" w:cs="方正仿宋_GB2312" w:hint="eastAsia"/>
          <w:bCs w:val="0"/>
          <w:sz w:val="30"/>
          <w:szCs w:val="30"/>
          <w:highlight w:val="none"/>
          <w:u w:val="none"/>
          <w:lang w:val="en-US" w:eastAsia="zh-CN"/>
        </w:rPr>
        <w:t xml:space="preserve">十二、国有资产占有使用情况说明</w:t>
      </w:r>
      <w:bookmarkEnd w:id="27"/>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中国农工民主党天津市委员会2025年度无国有资产占有使用情况。</w:t>
      </w:r>
    </w:p>
    <w:p>
      <w:pPr>
        <w:pStyle w:val="标题2"/>
        <w:spacing w:before="0" w:after="0" w:line="600" w:lineRule="exact"/>
        <w:ind w:firstLine="600" w:firstLineChars="200"/>
        <w:rPr>
          <w:rFonts w:ascii="黑体" w:eastAsia="黑体" w:hAnsi="黑体" w:cs="方正仿宋_GB2312" w:hint="eastAsia"/>
          <w:b/>
          <w:bCs w:val="0"/>
          <w:sz w:val="30"/>
          <w:szCs w:val="30"/>
          <w:highlight w:val="none"/>
          <w:u w:val="none"/>
          <w:lang w:val="en-US" w:eastAsia="zh-CN"/>
        </w:rPr>
      </w:pPr>
      <w:bookmarkStart w:id="28" w:name="_Toc2201"/>
      <w:r>
        <w:rPr>
          <w:rFonts w:ascii="黑体" w:eastAsia="黑体" w:hAnsi="黑体" w:cs="方正仿宋_GB2312" w:hint="eastAsia"/>
          <w:b/>
          <w:bCs w:val="0"/>
          <w:sz w:val="30"/>
          <w:szCs w:val="30"/>
          <w:highlight w:val="none"/>
          <w:u w:val="none"/>
          <w:lang w:val="en-US" w:eastAsia="zh-CN"/>
        </w:rPr>
        <w:t xml:space="preserve">十三、预算绩效情况说明</w:t>
      </w:r>
      <w:bookmarkEnd w:id="28"/>
    </w:p>
    <w:p>
      <w:pPr>
        <w:divId w:val="0"/>
        <w:spacing w:line="600" w:lineRule="exact"/>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    根据预算绩效管理要求，中国农工民主党天津市委员会已对5个2025年度市级项目开展绩效自评，涉及金额1,463,112.00元，自评结果已随部门决算一并公开。</w:t>
      </w:r>
    </w:p>
    <w:p>
      <w:pPr>
        <w:divId w:val="0"/>
        <w:spacing w:line="600" w:lineRule="exact"/>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    本部门2025年度已对5个项目开展部门评价，涉及金额1,463,112.00元</w:t>
      </w:r>
    </w:p>
    <w:p>
      <w:pPr>
        <w:pStyle w:val="标题2"/>
        <w:spacing w:before="0" w:after="0" w:line="600" w:lineRule="exact"/>
        <w:ind w:firstLine="600" w:firstLineChars="200"/>
        <w:rPr>
          <w:rFonts w:ascii="Times New Roman" w:eastAsia="黑体" w:hAnsi="Times New Roman"/>
          <w:b w:val="0"/>
          <w:sz w:val="30"/>
          <w:szCs w:val="30"/>
          <w:highlight w:val="none"/>
        </w:rPr>
      </w:pPr>
      <w:bookmarkStart w:id="29" w:name="_Toc10864"/>
      <w:r>
        <w:rPr>
          <w:rFonts w:ascii="黑体" w:eastAsia="黑体" w:hAnsi="黑体" w:cs="方正仿宋_GB2312" w:hint="eastAsia"/>
          <w:bCs w:val="0"/>
          <w:sz w:val="30"/>
          <w:szCs w:val="30"/>
          <w:highlight w:val="none"/>
          <w:u w:val="none"/>
          <w:lang w:val="en-US" w:eastAsia="zh-CN"/>
        </w:rPr>
        <w:t xml:space="preserve">十四、教育、医疗卫生、社会保障和就业、住房保障、涉农补贴等民生支出情况说明</w:t>
      </w:r>
      <w:bookmarkEnd w:id="29"/>
    </w:p>
    <w:p>
      <w:pPr>
        <w:divId w:val="0"/>
        <w:spacing w:line="600" w:lineRule="exact"/>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    中国农工民主党天津市委员会不属于乡、镇、街级单位，不涉及公开2025年度教育、医疗卫生、社会保障和就业、住房保障、涉农补贴等民生支出情况。</w:t>
      </w:r>
    </w:p>
    <w:p>
      <w:pPr>
        <w:pStyle w:val="标题1"/>
        <w:spacing w:before="0" w:after="0" w:line="600" w:lineRule="exact"/>
        <w:jc w:val="center"/>
        <w:rPr>
          <w:rFonts w:ascii="方正小标宋简体" w:eastAsia="方正小标宋简体" w:hAnsi="方正小标宋简体" w:cs="方正小标宋简体" w:hint="eastAsia"/>
          <w:b w:val="0"/>
          <w:sz w:val="48"/>
          <w:szCs w:val="48"/>
          <w:highlight w:val="none"/>
        </w:rPr>
      </w:pPr>
      <w:r>
        <w:rPr>
          <w:rFonts w:ascii="方正小标宋简体" w:eastAsia="方正小标宋简体" w:hAnsi="方正小标宋简体" w:cs="方正小标宋简体" w:hint="eastAsia"/>
          <w:b w:val="0"/>
          <w:sz w:val="48"/>
          <w:szCs w:val="48"/>
          <w:highlight w:val="none"/>
        </w:rPr>
        <w:br w:type="page"/>
      </w:r>
    </w:p>
    <w:p>
      <w:pPr>
        <w:pStyle w:val="标题1"/>
        <w:spacing w:before="0" w:after="0" w:line="600" w:lineRule="exact"/>
        <w:jc w:val="center"/>
        <w:rPr>
          <w:rFonts w:ascii="方正小标宋简体" w:eastAsia="方正小标宋简体" w:hAnsi="方正小标宋简体" w:cs="方正小标宋简体"/>
          <w:b w:val="0"/>
          <w:sz w:val="44"/>
          <w:szCs w:val="44"/>
          <w:highlight w:val="none"/>
        </w:rPr>
      </w:pPr>
      <w:bookmarkStart w:id="30" w:name="_Toc19733"/>
      <w:r>
        <w:rPr>
          <w:rFonts w:ascii="方正小标宋简体" w:eastAsia="方正小标宋简体" w:hAnsi="方正小标宋简体" w:cs="方正小标宋简体" w:hint="eastAsia"/>
          <w:b w:val="0"/>
          <w:lang w:val="en-US" w:eastAsia="zh-CN"/>
        </w:rPr>
        <w:t xml:space="preserve">第四部分  名词解释</w:t>
      </w:r>
      <w:bookmarkEnd w:id="30"/>
    </w:p>
    <w:p>
      <w:pPr>
        <w:pStyle w:val="标题1"/>
        <w:spacing w:before="0" w:after="0" w:line="600" w:lineRule="exact"/>
        <w:jc w:val="center"/>
        <w:rPr>
          <w:rFonts w:ascii="方正小标宋简体" w:eastAsia="方正小标宋简体" w:hAnsi="方正小标宋简体" w:cs="方正小标宋简体" w:hint="eastAsia"/>
          <w:b w:val="0"/>
          <w:sz w:val="44"/>
          <w:szCs w:val="44"/>
          <w:highlight w:val="none"/>
        </w:rPr>
      </w:pP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部门决算。是指各部门依据国家有关法律法规规定及其履行职能情况编制，反映部门所有预算收支和结余执行结果及绩效等情况的综合性年度报告，是改进部门预算执行以及编制后续年度部门预算的参考和依据。</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机关运行经费。反映行政单位（含参照公务员管理事业单位）财政拨款基本支出中的公用经费支出，主要为保障行政单位（含参照公务员管理事业单位）运行用于购买货物和服务的各项资金，包括办公费、印刷费、水费、电费、邮电费、取暖费、物业管理费、差旅费、会议费、公务用车运行维护费以及其他费用。</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3</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三</w:t>
      </w:r>
      <w:r>
        <w:rPr>
          <w:rFonts w:eastAsia="仿宋_GB2312" w:hint="eastAsia"/>
          <w:sz w:val="30"/>
          <w:szCs w:val="30"/>
          <w:highlight w:val="none"/>
          <w:lang w:val="en-US" w:eastAsia="zh-CN"/>
        </w:rPr>
        <w:t xml:space="preserve">公</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经费。是指各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牌照费）及燃料费、新能源汽车充电费、维修费、过桥过路费、保险费、安全奖励费用等支出；公务接待费反映单位按规定开支的各类公务接待（含外宾接待）支出</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 </w:t>
      </w:r>
    </w:p>
    <w:sectPr>
      <w:footerReference w:type="default" r:id="rId8"/>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textDirection w:val="lrTb"/>
      <w:docGrid w:type="lines" w:linePitch="312" w:charSpace="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default"/>
    <w:sig w:usb0="E0002EFF" w:usb1="C000785B" w:usb2="00000009" w:usb3="00000000" w:csb0="400001FF" w:csb1="FFFF0000"/>
  </w:font>
  <w:font w:name="宋体">
    <w:panose1 w:val="02010600030101010101"/>
    <w:charset w:val="FFFFFF86"/>
    <w:family w:val="auto"/>
    <w:pitch w:val="default"/>
    <w:sig w:usb0="00000203" w:usb1="288F0000" w:usb2="00000006" w:usb3="00000000" w:csb0="00040001" w:csb1="00000000"/>
    <w:embedRegular r:id="rId1" w:subsetted="1" w:fontKey="{A33451E6-C6C4-420B-8D75-0C186267EFB8}"/>
    <w:embedBold r:id="rId2" w:subsetted="1" w:fontKey="{8A98635E-D31F-49A9-A9F5-B6D5ACFAFE62}"/>
  </w:font>
  <w:font w:name="Cambria">
    <w:panose1 w:val="02040503050406030204"/>
    <w:charset w:val="00"/>
    <w:family w:val="roman"/>
    <w:pitch w:val="default"/>
    <w:sig w:usb0="E00006FF" w:usb1="420024FF" w:usb2="02000000" w:usb3="00000000" w:csb0="2000019F" w:csb1="00000000"/>
    <w:embedRegular r:id="rId3" w:fontKey="{C19E9274-6001-4F95-A1BD-E8F39F12230D}"/>
  </w:font>
  <w:font w:name="Calibri">
    <w:panose1 w:val="020F0502020204030204"/>
    <w:charset w:val="00"/>
    <w:family w:val="swiss"/>
    <w:pitch w:val="default"/>
    <w:sig w:usb0="E4002EFF" w:usb1="C200247B" w:usb2="00000009" w:usb3="00000000" w:csb0="200001FF" w:csb1="00000000"/>
    <w:embedRegular r:id="rId4" w:fontKey="{E18B7A44-7082-443E-B8A7-C5A8D47F8118}"/>
  </w:font>
  <w:font w:name="黑体">
    <w:panose1 w:val="02010609060101010101"/>
    <w:charset w:val="FFFFFF86"/>
    <w:family w:val="auto"/>
    <w:pitch w:val="default"/>
    <w:sig w:usb0="800002BF" w:usb1="38CF7CFA" w:usb2="00000016" w:usb3="00000000" w:csb0="00040001" w:csb1="00000000"/>
    <w:embedRegular r:id="rId5" w:subsetted="1" w:fontKey="{1C2A7BB1-59A4-4EFF-8D96-E3670495AFC7}"/>
    <w:embedBold r:id="rId6" w:subsetted="1" w:fontKey="{64FEA558-6873-4279-8A44-5A7B661D80E7}"/>
  </w:font>
  <w:font w:name="方正小标宋简体">
    <w:altName w:val="黑体"/>
    <w:panose1 w:val="02000000000000000000"/>
    <w:charset w:val="FFFFFF86"/>
    <w:family w:val="auto"/>
    <w:pitch w:val="default"/>
    <w:sig w:usb0="00000001" w:usb1="08000000" w:usb2="00000000" w:usb3="00000000" w:csb0="00040000" w:csb1="00000000"/>
    <w:embedRegular r:id="rId7" w:fontKey="{4B7B2ED7-BE09-4A3B-9F85-0BFA96BDA198}"/>
    <w:embedBold r:id="rId8" w:fontKey="{4C178178-5601-4B82-A3E6-0DF450C7B3FD}"/>
  </w:font>
  <w:font w:name="仿宋">
    <w:panose1 w:val="02010609060101010101"/>
    <w:charset w:val="FFFFFF86"/>
    <w:family w:val="auto"/>
    <w:pitch w:val="default"/>
    <w:sig w:usb0="800002BF" w:usb1="38CF7CFA" w:usb2="00000016" w:usb3="00000000" w:csb0="00040001" w:csb1="00000000"/>
    <w:embedRegular r:id="rId9" w:subsetted="1" w:fontKey="{EED3E3B4-211E-46A7-BB43-FE1CA8705BE6}"/>
  </w:font>
  <w:font w:name="方正仿宋_GB2312">
    <w:altName w:val="仿宋"/>
    <w:panose1 w:val="02000000000000000000"/>
    <w:charset w:val="FFFFFF86"/>
    <w:family w:val="auto"/>
    <w:pitch w:val="default"/>
    <w:sig w:usb0="A00002BF" w:usb1="184F6CFA" w:usb2="00000012" w:usb3="00000000" w:csb0="00040001" w:csb1="00000000"/>
  </w:font>
  <w:font w:name="仿宋_GB2312">
    <w:altName w:val="仿宋"/>
    <w:panose1 w:val="02010609030101010101"/>
    <w:charset w:val="FFFFFF86"/>
    <w:family w:val="auto"/>
    <w:pitch w:val="default"/>
    <w:sig w:usb0="00000001" w:usb1="080E0000" w:usb2="00000000" w:usb3="00000000" w:csb0="00040000" w:csb1="00000000"/>
    <w:embedRegular r:id="rId10" w:fontKey="{647BB444-2A6C-4CE4-A9D2-C09AE282B9CD}"/>
  </w:font>
  <w:font w:name="方正楷体_GB2312">
    <w:altName w:val="宋体"/>
    <w:panose1 w:val="02000000000000000000"/>
    <w:charset w:val="FFFFFF86"/>
    <w:family w:val="auto"/>
    <w:pitch w:val="default"/>
    <w:sig w:usb0="A00002BF" w:usb1="184F6CFA" w:usb2="00000012" w:usb3="00000000" w:csb0="00040001" w:csb1="00000000"/>
  </w:font>
  <w:font w:name="等线">
    <w:panose1 w:val="02010600030101010101"/>
    <w:charset w:val="FFFFFF86"/>
    <w:family w:val="auto"/>
    <w:pitch w:val="default"/>
    <w:sig w:usb0="A00002BF" w:usb1="38CF7CFA" w:usb2="00000016" w:usb3="00000000" w:csb0="0004000F" w:csb1="00000000"/>
  </w:font>
  <w:font w:name="楷体">
    <w:panose1 w:val="02010609060101010101"/>
    <w:charset w:val="FFFFFF86"/>
    <w:family w:val="decorative"/>
    <w:pitch w:val="default"/>
    <w:sig w:usb0="800002BF" w:usb1="38CF7CFA" w:usb2="00000016" w:usb3="00000000" w:csb0="00040001" w:csb1="00000000"/>
    <w:embedRegular r:id="rId11" w:subsetted="1" w:fontKey="{437636AF-DEF6-44E3-B35F-4ECD43494D2E}"/>
    <w:embedBold r:id="rId12" w:subsetted="1" w:fontKey="{FCA7053D-1295-48C1-BD8A-1A9CBD05B6CB}"/>
  </w:font>
  <w:font w:name="Arial">
    <w:charset w:val="00"/>
    <w:family w:val="auto"/>
    <w:pitch w:val="default"/>
  </w:font>
  <w:font w:name="方正仿宋">
    <w:charset w:val="01"/>
    <w:family w:val="auto"/>
    <w:pitch w:val="default"/>
  </w:font>
  <w:font w:name="方正楷体">
    <w:charset w:val="01"/>
    <w:family w:val="auto"/>
    <w:pitch w:val="default"/>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26" o:spid="_x0000_s2049" type="#_x0000_t202" style="width:2in;height:2in;margin-top:0;margin-left:0;mso-position-horizontal:center;mso-position-horizontal-relative:margin;mso-wrap-style:none;position:absolute;z-index:251658240"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3</w:t>
                </w:r>
                <w:r>
                  <w:fldChar w:fldCharType="end"/>
                </w: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27" o:spid="_x0000_s2050" type="#_x0000_t202" style="width:2in;height:2in;margin-top:0;margin-left:0;mso-position-horizontal:center;mso-position-horizontal-relative:margin;mso-wrap-style:none;position:absolute;z-index:251659264"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7</w:t>
                </w:r>
                <w:r>
                  <w:fldChar w:fldCharType="end"/>
                </w:r>
              </w:p>
            </w:txbxContent>
          </v:textbox>
          <w10:wrap anchorx="margin"/>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28" o:spid="_x0000_s2051" type="#_x0000_t202" style="width:2in;height:2in;margin-top:0;margin-left:0;mso-position-horizontal:center;mso-position-horizontal-relative:margin;mso-wrap-style:none;position:absolute;z-index:251660288"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20</w:t>
                </w:r>
                <w:r>
                  <w:fldChar w:fldCharType="end"/>
                </w:r>
              </w:p>
            </w:txbxContent>
          </v:textbox>
          <w10:wrap anchorx="margin"/>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7" o:spid="_x0000_s2052" type="#_x0000_t202" style="width:2in;height:2in;margin-top:0;margin-left:0;mso-position-horizontal:center;mso-position-horizontal-relative:margin;mso-wrap-style:none;position:absolute;z-index:251661312"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29</w:t>
                </w:r>
                <w:r>
                  <w:fldChar w:fldCharType="end"/>
                </w:r>
              </w:p>
            </w:txbxContent>
          </v:textbox>
          <w10:wrap anchorx="margin"/>
        </v:shape>
      </w:pic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TrueTypeFonts/>
  <w:bordersDoNotSurroundFooter w:val="0"/>
  <w:bordersDoNotSurroundHeader w:val="0"/>
  <w:stylePaneFormatFilter w:val="3F01"/>
  <w:doNotTrackMoves/>
  <w:defaultTabStop w:val="420.0"/>
  <w:drawingGridVerticalSpacing w:val="156"/>
  <w:noPunctuationKerning/>
  <w:characterSpacingControl w:val="compressPunctuation"/>
  <w:noLineBreaksAfter w:lang="en-US" w:val="([{·‘“〈《「『【〔〖（．［｛￡￥"/>
  <w:noLineBreaksBefore w:lang="en-US" w:val="!),.:;?]}¨·ˇˉ―‖’”…∶、。〃々〉》」』】〕〗！＂＇），．：；？］｀｜｝～￠"/>
  <w:endnotePr>
    <w:numFmt w:val="decimal"/>
  </w:endnotePr>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00000"/>
  </w:rsids>
  <w:docVars>
    <w:docVar w:name="commondata" w:val="eyJoZGlkIjoiOTM0ZDdjZmNhMDU3OGRjODI0Y2FhODMxNDQzMzM1NjMifQ=="/>
  </w:docVars>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unhideWhenUsed="0" w:qFormat="1"/>
    <w:lsdException w:name="header" w:semiHidden="0" w:uiPriority="0"/>
    <w:lsdException w:name="footer" w:semiHidden="0" w:uiPriority="0" w:qFormat="1"/>
    <w:lsdException w:name="caption" w:uiPriority="35" w:qFormat="1"/>
    <w:lsdException w:name="Title" w:semiHidden="0" w:uiPriority="10" w:unhideWhenUsed="0" w:qFormat="1"/>
    <w:lsdException w:name="Default Paragraph Font" w:semiHidden="0" w:uiPriority="0"/>
    <w:lsdException w:name="Body Text Indent" w:semiHidden="0" w:qFormat="1"/>
    <w:lsdException w:name="Subtitle" w:semiHidden="0" w:uiPriority="11" w:unhideWhenUsed="0" w:qFormat="1"/>
    <w:lsdException w:name="Body Text First Indent 2" w:semiHidden="0" w:qFormat="1"/>
    <w:lsdException w:name="Hyperlink" w:semiHidden="0"/>
    <w:lsdException w:name="Strong" w:semiHidden="0" w:uiPriority="22" w:unhideWhenUsed="0" w:qFormat="1"/>
    <w:lsdException w:name="Emphasis" w:semiHidden="0" w:uiPriority="20" w:unhideWhenUsed="0" w:qFormat="1"/>
    <w:lsdException w:name="Normal (Web)" w:semiHidden="0" w:qFormat="1"/>
    <w:lsdException w:name="Normal Table" w:semiHidden="0"/>
    <w:lsdException w:name="Balloon Text" w:semiHidden="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divId w:val="0"/>
      <w:widowControl w:val="0"/>
      <w:adjustRightInd w:val="0"/>
      <w:spacing w:line="360" w:lineRule="atLeast"/>
      <w:textAlignment w:val="baseline"/>
    </w:pPr>
    <w:rPr>
      <w:rFonts w:ascii="Times New Roman" w:eastAsia="宋体" w:hAnsi="Times New Roman" w:cs="Times New Roman"/>
      <w:sz w:val="24"/>
      <w:lang w:val="en-US" w:eastAsia="zh-CN" w:bidi="ar-SA"/>
    </w:rPr>
  </w:style>
  <w:style w:type="paragraph" w:styleId="标题1">
    <w:name w:val="标题 1"/>
    <w:basedOn w:val="Normal"/>
    <w:next w:val="Normal"/>
    <w:link w:val="标题1Char"/>
    <w:uiPriority w:val="9"/>
    <w:qFormat/>
    <w:pPr>
      <w:keepNext/>
      <w:keepLines/>
      <w:spacing w:before="340" w:after="330" w:line="578" w:lineRule="atLeast"/>
      <w:outlineLvl w:val="0"/>
    </w:pPr>
    <w:rPr>
      <w:b/>
      <w:bCs/>
      <w:kern w:val="44.0"/>
      <w:sz w:val="44"/>
      <w:szCs w:val="44"/>
    </w:rPr>
  </w:style>
  <w:style w:type="paragraph" w:styleId="标题2">
    <w:name w:val="标题 2"/>
    <w:basedOn w:val="Normal"/>
    <w:next w:val="Normal"/>
    <w:link w:val="标题2Char"/>
    <w:uiPriority w:val="9"/>
    <w:unhideWhenUsed/>
    <w:qFormat/>
    <w:pPr>
      <w:keepNext/>
      <w:keepLines/>
      <w:spacing w:before="260" w:after="260" w:line="416" w:lineRule="atLeast"/>
      <w:outlineLvl w:val="1"/>
    </w:pPr>
    <w:rPr>
      <w:rFonts w:ascii="Cambria" w:eastAsia="宋体" w:hAnsi="Cambria" w:cs="Times New Roman"/>
      <w:b/>
      <w:bCs/>
      <w:sz w:val="32"/>
      <w:szCs w:val="32"/>
    </w:rPr>
  </w:style>
  <w:style w:type="paragraph" w:styleId="标题3">
    <w:name w:val="标题 3"/>
    <w:basedOn w:val="Normal"/>
    <w:next w:val="Normal"/>
    <w:link w:val="标题3Char"/>
    <w:uiPriority w:val="9"/>
    <w:unhideWhenUsed/>
    <w:qFormat/>
    <w:pPr>
      <w:keepNext/>
      <w:keepLines/>
      <w:spacing w:before="260" w:after="260" w:line="416" w:lineRule="atLeast"/>
      <w:outlineLvl w:val="2"/>
    </w:pPr>
    <w:rPr>
      <w:b/>
      <w:bCs/>
      <w:sz w:val="32"/>
      <w:szCs w:val="32"/>
    </w:rPr>
  </w:style>
  <w:style w:type="character" w:default="1" w:styleId="DefaultParagraphFont">
    <w:name w:val="Default Paragraph Font"/>
    <w:unhideWhenUsed/>
  </w:style>
  <w:style w:type="table" w:styleId="普通表格">
    <w:name w:val="普通表格"/>
    <w:uiPriority w:val="99"/>
    <w:unhideWhenUsed/>
    <w:tblP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
  </w:style>
  <w:style w:type="character" w:styleId="标题1Char">
    <w:name w:val="标题 1 Char"/>
    <w:link w:val="标题1"/>
    <w:uiPriority w:val="9"/>
    <w:rPr>
      <w:b/>
      <w:bCs/>
      <w:kern w:val="44.0"/>
      <w:sz w:val="44"/>
      <w:szCs w:val="44"/>
    </w:rPr>
  </w:style>
  <w:style w:type="character" w:styleId="标题2Char">
    <w:name w:val="标题 2 Char"/>
    <w:link w:val="标题2"/>
    <w:uiPriority w:val="9"/>
    <w:semiHidden/>
    <w:rPr>
      <w:rFonts w:ascii="Cambria" w:eastAsia="宋体" w:hAnsi="Cambria" w:cs="Times New Roman"/>
      <w:b/>
      <w:bCs/>
      <w:sz w:val="32"/>
      <w:szCs w:val="32"/>
    </w:rPr>
  </w:style>
  <w:style w:type="character" w:styleId="标题3Char">
    <w:name w:val="标题 3 Char"/>
    <w:link w:val="标题3"/>
    <w:uiPriority w:val="9"/>
    <w:semiHidden/>
    <w:rPr>
      <w:b/>
      <w:bCs/>
      <w:sz w:val="32"/>
      <w:szCs w:val="32"/>
    </w:rPr>
  </w:style>
  <w:style w:type="paragraph" w:styleId="正文文本缩进">
    <w:name w:val="正文文本缩进"/>
    <w:basedOn w:val="Normal"/>
    <w:next w:val="正文首行缩进2"/>
    <w:uiPriority w:val="99"/>
    <w:unhideWhenUsed/>
    <w:qFormat/>
    <w:pPr>
      <w:spacing w:after="120"/>
      <w:ind w:left="420" w:leftChars="200"/>
      <w:jc w:val="left"/>
    </w:pPr>
    <w:rPr>
      <w:rFonts w:ascii="宋体" w:hAnsi="宋体" w:cs="宋体"/>
      <w:kern w:val="0.0"/>
      <w:sz w:val="24"/>
      <w:lang w:val="en-US" w:eastAsia="zh-CN"/>
    </w:rPr>
  </w:style>
  <w:style w:type="paragraph" w:styleId="正文首行缩进2">
    <w:name w:val="正文首行缩进 2"/>
    <w:basedOn w:val="正文文本缩进"/>
    <w:next w:val="Normal"/>
    <w:uiPriority w:val="99"/>
    <w:unhideWhenUsed/>
    <w:qFormat/>
    <w:pPr>
      <w:ind w:left="420" w:firstLine="420" w:firstLineChars="200"/>
      <w:jc w:val="left"/>
    </w:pPr>
    <w:rPr>
      <w:lang w:val="en-US" w:eastAsia="zh-CN"/>
    </w:rPr>
  </w:style>
  <w:style w:type="paragraph" w:styleId="目录3">
    <w:name w:val="目录 3"/>
    <w:basedOn w:val="Normal"/>
    <w:next w:val="Normal"/>
    <w:uiPriority w:val="39"/>
    <w:unhideWhenUsed/>
    <w:qFormat/>
    <w:pPr>
      <w:widowControl/>
      <w:adjustRightInd/>
      <w:spacing w:after="100" w:line="276" w:lineRule="auto"/>
      <w:ind w:left="440"/>
      <w:textAlignment w:val="auto"/>
    </w:pPr>
    <w:rPr>
      <w:rFonts w:ascii="Calibri" w:eastAsia="宋体" w:hAnsi="Calibri" w:cs="Times New Roman"/>
      <w:sz w:val="22"/>
      <w:szCs w:val="22"/>
    </w:rPr>
  </w:style>
  <w:style w:type="paragraph" w:styleId="批注框文本">
    <w:name w:val="批注框文本"/>
    <w:basedOn w:val="Normal"/>
    <w:link w:val="批注框文本Char"/>
    <w:uiPriority w:val="99"/>
    <w:unhideWhenUsed/>
    <w:pPr>
      <w:spacing w:line="240" w:lineRule="auto"/>
    </w:pPr>
    <w:rPr>
      <w:sz w:val="18"/>
      <w:szCs w:val="18"/>
    </w:rPr>
  </w:style>
  <w:style w:type="character" w:styleId="批注框文本Char">
    <w:name w:val="批注框文本 Char"/>
    <w:link w:val="批注框文本"/>
    <w:uiPriority w:val="99"/>
    <w:semiHidden/>
    <w:rPr>
      <w:sz w:val="18"/>
      <w:szCs w:val="18"/>
    </w:rPr>
  </w:style>
  <w:style w:type="paragraph" w:styleId="页脚">
    <w:name w:val="页脚"/>
    <w:basedOn w:val="Normal"/>
    <w:link w:val="页脚Char"/>
    <w:unhideWhenUsed/>
    <w:qFormat/>
    <w:pPr>
      <w:tabs>
        <w:tab w:val="center" w:pos="4153"/>
        <w:tab w:val="right" w:pos="8306"/>
      </w:tabs>
      <w:snapToGrid w:val="0"/>
      <w:spacing w:line="240" w:lineRule="atLeast"/>
    </w:pPr>
    <w:rPr>
      <w:sz w:val="18"/>
      <w:szCs w:val="18"/>
    </w:rPr>
  </w:style>
  <w:style w:type="character" w:styleId="页脚Char">
    <w:name w:val="页脚 Char"/>
    <w:link w:val="页脚"/>
    <w:semiHidden/>
    <w:rPr>
      <w:sz w:val="18"/>
      <w:szCs w:val="18"/>
    </w:rPr>
  </w:style>
  <w:style w:type="paragraph" w:styleId="页眉">
    <w:name w:val="页眉"/>
    <w:basedOn w:val="Normal"/>
    <w:link w:val="页眉Char"/>
    <w:unhideWhenUsed/>
    <w:pPr>
      <w:pBdr>
        <w:bottom w:val="single" w:sz="6" w:space="1" w:color="auto"/>
      </w:pBdr>
      <w:tabs>
        <w:tab w:val="center" w:pos="4153"/>
        <w:tab w:val="right" w:pos="8306"/>
      </w:tabs>
      <w:snapToGrid w:val="0"/>
      <w:spacing w:line="240" w:lineRule="atLeast"/>
      <w:jc w:val="center"/>
    </w:pPr>
    <w:rPr>
      <w:sz w:val="18"/>
      <w:szCs w:val="18"/>
    </w:rPr>
  </w:style>
  <w:style w:type="character" w:styleId="页眉Char">
    <w:name w:val="页眉 Char"/>
    <w:link w:val="页眉"/>
    <w:semiHidden/>
    <w:rPr>
      <w:sz w:val="18"/>
      <w:szCs w:val="18"/>
    </w:rPr>
  </w:style>
  <w:style w:type="paragraph" w:styleId="目录1">
    <w:name w:val="目录 1"/>
    <w:basedOn w:val="Normal"/>
    <w:next w:val="Normal"/>
    <w:uiPriority w:val="39"/>
    <w:unhideWhenUsed/>
    <w:qFormat/>
    <w:pPr>
      <w:widowControl/>
      <w:tabs>
        <w:tab w:val="right" w:leader="dot" w:pos="8296"/>
      </w:tabs>
      <w:adjustRightInd/>
      <w:spacing w:after="100" w:line="276" w:lineRule="auto"/>
      <w:textAlignment w:val="auto"/>
    </w:pPr>
    <w:rPr>
      <w:rFonts w:ascii="黑体" w:eastAsia="黑体" w:hAnsi="黑体" w:cs="方正小标宋简体"/>
      <w:sz w:val="22"/>
      <w:szCs w:val="22"/>
    </w:rPr>
  </w:style>
  <w:style w:type="paragraph" w:styleId="脚注文本">
    <w:name w:val="脚注文本"/>
    <w:basedOn w:val="Normal"/>
    <w:next w:val="正文首行缩进2"/>
    <w:semiHidden/>
    <w:qFormat/>
    <w:pPr>
      <w:snapToGrid w:val="0"/>
      <w:jc w:val="left"/>
    </w:pPr>
    <w:rPr>
      <w:sz w:val="18"/>
      <w:szCs w:val="18"/>
      <w:lang w:val="en-US" w:eastAsia="zh-CN"/>
    </w:rPr>
  </w:style>
  <w:style w:type="paragraph" w:styleId="目录2">
    <w:name w:val="目录 2"/>
    <w:basedOn w:val="Normal"/>
    <w:next w:val="Normal"/>
    <w:uiPriority w:val="39"/>
    <w:unhideWhenUsed/>
    <w:qFormat/>
    <w:pPr>
      <w:widowControl/>
      <w:adjustRightInd/>
      <w:spacing w:after="100" w:line="276" w:lineRule="auto"/>
      <w:ind w:left="220"/>
      <w:textAlignment w:val="auto"/>
    </w:pPr>
    <w:rPr>
      <w:rFonts w:ascii="Calibri" w:eastAsia="宋体" w:hAnsi="Calibri" w:cs="Times New Roman"/>
      <w:sz w:val="22"/>
      <w:szCs w:val="22"/>
    </w:rPr>
  </w:style>
  <w:style w:type="paragraph" w:styleId="普通(网站)">
    <w:name w:val="普通(网站)"/>
    <w:basedOn w:val="Normal"/>
    <w:uiPriority w:val="99"/>
    <w:unhideWhenUsed/>
    <w:qFormat/>
    <w:rPr>
      <w:sz w:val="24"/>
    </w:rPr>
  </w:style>
  <w:style w:type="character" w:styleId="Hyperlink">
    <w:name w:val="超链接"/>
    <w:uiPriority w:val="99"/>
    <w:unhideWhenUsed/>
    <w:rPr>
      <w:color w:val="0000FF"/>
      <w:u w:val="single"/>
    </w:rPr>
  </w:style>
  <w:style w:type="paragraph" w:styleId="TOC标题">
    <w:name w:val="TOC 标题"/>
    <w:basedOn w:val="标题1"/>
    <w:next w:val="Normal"/>
    <w:uiPriority w:val="39"/>
    <w:unhideWhenUsed/>
    <w:qFormat/>
    <w:pPr>
      <w:widowControl/>
      <w:adjustRightInd/>
      <w:spacing w:before="480" w:after="0" w:line="276" w:lineRule="auto"/>
      <w:textAlignment w:val="auto"/>
      <w:outlineLvl w:val="9"/>
    </w:pPr>
    <w:rPr>
      <w:rFonts w:ascii="Cambria" w:eastAsia="宋体" w:hAnsi="Cambria" w:cs="Times New Roman"/>
      <w:color w:val="365F91"/>
      <w:kern w:val="0.0"/>
      <w:sz w:val="28"/>
      <w:szCs w:val="28"/>
    </w:rPr>
  </w:style>
  <w:style w:type="character" w:styleId="font41">
    <w:name w:val="font41"/>
    <w:basedOn w:val="DefaultParagraphFont"/>
    <w:qFormat/>
    <w:rPr>
      <w:rFonts w:ascii="宋体" w:eastAsia="宋体" w:hAnsi="宋体" w:cs="宋体" w:hint="eastAsia"/>
      <w:color w:val="000000"/>
      <w:sz w:val="20"/>
      <w:szCs w:val="20"/>
      <w:u w:val="none"/>
    </w:rPr>
  </w:style>
  <w:style w:type="character" w:styleId="font11">
    <w:name w:val="font11"/>
    <w:basedOn w:val="DefaultParagraphFont"/>
    <w:qFormat/>
    <w:rPr>
      <w:rFonts w:ascii="宋体" w:eastAsia="宋体" w:hAnsi="宋体" w:cs="宋体" w:hint="eastAsia"/>
      <w:color w:val="000000"/>
      <w:sz w:val="22"/>
      <w:szCs w:val="22"/>
      <w:u w:val="none"/>
    </w:rPr>
  </w:style>
  <w:style w:type="table" w:styleId="普通表格1">
    <w:name w:val="普通表格1"/>
    <w:uiPriority w:val="99"/>
    <w:unhideWhenUsed/>
    <w:tblPr>
      <w:tblCellMar>
        <w:top w:w="0" w:type="dxa"/>
        <w:left w:w="108" w:type="dxa"/>
        <w:bottom w:w="0" w:type="dxa"/>
        <w:right w:w="108" w:type="dxa"/>
      </w:tblCellMar>
    </w:tblPr>
  </w:style>
  <w:style w:type="table" w:default="1" w:styleId="NormalTable">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NormalTabl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11" Type="http://schemas.openxmlformats.org/officeDocument/2006/relationships/fontTable" Target="fontTable.xml" /><Relationship Id="rId2" Type="http://schemas.openxmlformats.org/officeDocument/2006/relationships/webSettings" Target="webSettings.xml" /><Relationship Id="rId3" Type="http://schemas.openxmlformats.org/officeDocument/2006/relationships/customXml" Target="../customXml/item1.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theme" Target="theme/theme1.xml" /></Relationships>
</file>

<file path=word/_rels/fontTable.xml.rels>&#65279;<?xml version="1.0" encoding="utf-8" standalone="yes"?><Relationships xmlns="http://schemas.openxmlformats.org/package/2006/relationships"><Relationship Id="rId1" Type="http://schemas.openxmlformats.org/officeDocument/2006/relationships/font" Target="fonts/font0.odttf" /><Relationship Id="rId10" Type="http://schemas.openxmlformats.org/officeDocument/2006/relationships/font" Target="fonts/font9.odttf" /><Relationship Id="rId11" Type="http://schemas.openxmlformats.org/officeDocument/2006/relationships/font" Target="fonts/font10.odttf" /><Relationship Id="rId12" Type="http://schemas.openxmlformats.org/officeDocument/2006/relationships/font" Target="fonts/font11.odttf" /><Relationship Id="rId2" Type="http://schemas.openxmlformats.org/officeDocument/2006/relationships/font" Target="fonts/font1.odttf" /><Relationship Id="rId3" Type="http://schemas.openxmlformats.org/officeDocument/2006/relationships/font" Target="fonts/font2.odttf" /><Relationship Id="rId4" Type="http://schemas.openxmlformats.org/officeDocument/2006/relationships/font" Target="fonts/font3.odttf" /><Relationship Id="rId5" Type="http://schemas.openxmlformats.org/officeDocument/2006/relationships/font" Target="fonts/font4.odttf" /><Relationship Id="rId6" Type="http://schemas.openxmlformats.org/officeDocument/2006/relationships/font" Target="fonts/font5.odttf" /><Relationship Id="rId7" Type="http://schemas.openxmlformats.org/officeDocument/2006/relationships/font" Target="fonts/font6.odttf" /><Relationship Id="rId8" Type="http://schemas.openxmlformats.org/officeDocument/2006/relationships/font" Target="fonts/font7.odttf" /><Relationship Id="rId9" Type="http://schemas.openxmlformats.org/officeDocument/2006/relationships/font" Target="fonts/font8.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Properties xmlns:vt="http://schemas.openxmlformats.org/officeDocument/2006/docPropsVTypes" xmlns="http://schemas.openxmlformats.org/officeDocument/2006/custom-properties">
  <property fmtid="{D5CDD505-2E9C-101B-9397-08002B2CF9AE}" pid="2" name="KSOProductBuildVer">
    <vt:lpwstr>2052-12.1.0.28043</vt:lpwstr>
  </property>
  <property fmtid="{D5CDD505-2E9C-101B-9397-08002B2CF9AE}" pid="3" name="ICV">
    <vt:lpwstr>A5A403E1C15441A0A57FA6556FC3E287_13</vt:lpwstr>
  </property>
  <property fmtid="{D5CDD505-2E9C-101B-9397-08002B2CF9AE}" pid="4" name="KSOTemplateDocerSaveRecord">
    <vt:lpwstr>eyJoZGlkIjoiMGMwOGFkMDkyMGVjOWVjMzc0YjBmOTUwNDI2MGMxYmMiLCJ1c2VySWQiOiI4ODc2NjQ3MTcifQ_x003D__x003D_</vt:lpwstr>
  </property>
</Properties>
</file>

<file path=customXml/itemProps1.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Normal.dot</Template>
  <Pages>32</Pages>
  <Words>3930</Words>
  <Characters>23360</Characters>
  <Application>WPS Office_12.1.0.28043_F1E327BC-269C-435d-A152-05C5408002CA</Application>
  <DocSecurity>0</DocSecurity>
  <Lines>60</Lines>
  <Paragraphs>16</Paragraphs>
  <ScaleCrop>false</ScaleCrop>
  <Company>Microsoft</Company>
  <LinksUpToDate>false</LinksUpToDate>
  <CharactersWithSpaces>23943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附件1</dc:title>
  <dc:creator>Administrator</dc:creator>
  <cp:lastModifiedBy>听鸣</cp:lastModifiedBy>
  <cp:revision>1</cp:revision>
  <cp:lastPrinted>2025-06-25T07:52:17Z</cp:lastPrinted>
  <dcterms:created xsi:type="dcterms:W3CDTF">2019-07-27T18:37:00Z</dcterms:created>
  <dcterms:modified xsi:type="dcterms:W3CDTF">2026-08-26T09:19:30Z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2052-12.1.0.28043</vt:lpwstr>
  </property>
  <property fmtid="{D5CDD505-2E9C-101B-9397-08002B2CF9AE}" pid="3" name="ICV">
    <vt:lpwstr>A5A403E1C15441A0A57FA6556FC3E287_13</vt:lpwstr>
  </property>
  <property fmtid="{D5CDD505-2E9C-101B-9397-08002B2CF9AE}" pid="4" name="KSOTemplateDocerSaveRecord">
    <vt:lpwstr>eyJoZGlkIjoiMGMwOGFkMDkyMGVjOWVjMzc0YjBmOTUwNDI2MGMxYmMiLCJ1c2VySWQiOiI4ODc2NjQ3MTcifQ_x003D__x003D_</vt:lpwstr>
  </property>
</Properties>
</file>